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69" w:rsidRPr="00726569" w:rsidRDefault="00726569" w:rsidP="00726569">
      <w:pPr>
        <w:pBdr>
          <w:bottom w:val="single" w:sz="6" w:space="0" w:color="DCDCDC"/>
        </w:pBd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4E4F50"/>
          <w:kern w:val="36"/>
          <w:sz w:val="27"/>
          <w:szCs w:val="27"/>
          <w:lang w:eastAsia="it-IT"/>
        </w:rPr>
      </w:pPr>
      <w:r w:rsidRPr="00726569">
        <w:rPr>
          <w:rFonts w:ascii="Arial" w:eastAsia="Times New Roman" w:hAnsi="Arial" w:cs="Arial"/>
          <w:color w:val="4E4F50"/>
          <w:kern w:val="36"/>
          <w:sz w:val="27"/>
          <w:szCs w:val="27"/>
          <w:lang w:eastAsia="it-IT"/>
        </w:rPr>
        <w:t xml:space="preserve">LA </w:t>
      </w:r>
      <w:bookmarkStart w:id="0" w:name="_GoBack"/>
      <w:bookmarkEnd w:id="0"/>
      <w:r w:rsidRPr="00726569">
        <w:rPr>
          <w:rFonts w:ascii="Arial" w:eastAsia="Times New Roman" w:hAnsi="Arial" w:cs="Arial"/>
          <w:color w:val="4E4F50"/>
          <w:kern w:val="36"/>
          <w:sz w:val="27"/>
          <w:szCs w:val="27"/>
          <w:lang w:eastAsia="it-IT"/>
        </w:rPr>
        <w:t>FASE “PATOLOGICA”</w:t>
      </w:r>
      <w:r w:rsidR="00C913F9">
        <w:rPr>
          <w:rFonts w:ascii="Arial" w:eastAsia="Times New Roman" w:hAnsi="Arial" w:cs="Arial"/>
          <w:color w:val="4E4F50"/>
          <w:kern w:val="36"/>
          <w:sz w:val="27"/>
          <w:szCs w:val="27"/>
          <w:lang w:eastAsia="it-IT"/>
        </w:rPr>
        <w:t xml:space="preserve"> </w:t>
      </w:r>
      <w:r w:rsidRPr="00726569">
        <w:rPr>
          <w:rFonts w:ascii="Arial" w:eastAsia="Times New Roman" w:hAnsi="Arial" w:cs="Arial"/>
          <w:color w:val="4E4F50"/>
          <w:kern w:val="36"/>
          <w:sz w:val="27"/>
          <w:szCs w:val="27"/>
          <w:lang w:eastAsia="it-IT"/>
        </w:rPr>
        <w:t>DEL DLGS. 231/01: CONOSCERLA PER EVITARLA</w:t>
      </w:r>
    </w:p>
    <w:p w:rsidR="00726569" w:rsidRPr="00726569" w:rsidRDefault="00726569" w:rsidP="00726569">
      <w:pPr>
        <w:spacing w:after="0" w:line="255" w:lineRule="atLeast"/>
        <w:textAlignment w:val="baseline"/>
        <w:outlineLvl w:val="1"/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</w:pPr>
      <w:r w:rsidRPr="00726569"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  <w:t>Calendario</w:t>
      </w:r>
    </w:p>
    <w:p w:rsidR="00726569" w:rsidRPr="00726569" w:rsidRDefault="0072656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26/01/2018 - ore 14.00/18.00</w:t>
      </w:r>
    </w:p>
    <w:p w:rsidR="00726569" w:rsidRPr="00726569" w:rsidRDefault="00726569" w:rsidP="00726569">
      <w:pPr>
        <w:spacing w:after="0" w:line="255" w:lineRule="atLeast"/>
        <w:textAlignment w:val="baseline"/>
        <w:outlineLvl w:val="1"/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</w:pPr>
      <w:r w:rsidRPr="00726569"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  <w:t>Totale Ore</w:t>
      </w:r>
    </w:p>
    <w:p w:rsidR="00726569" w:rsidRPr="00726569" w:rsidRDefault="0072656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4</w:t>
      </w:r>
    </w:p>
    <w:p w:rsidR="00726569" w:rsidRPr="00726569" w:rsidRDefault="00C913F9" w:rsidP="00726569">
      <w:pPr>
        <w:shd w:val="clear" w:color="auto" w:fill="6E6E6E"/>
        <w:spacing w:after="0" w:line="255" w:lineRule="atLeast"/>
        <w:textAlignment w:val="baseline"/>
        <w:rPr>
          <w:rFonts w:ascii="Arial" w:eastAsia="Times New Roman" w:hAnsi="Arial" w:cs="Arial"/>
          <w:color w:val="FFFFFF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FFFFFF"/>
          <w:sz w:val="21"/>
          <w:szCs w:val="21"/>
          <w:lang w:eastAsia="it-IT"/>
        </w:rPr>
        <w:t>P</w:t>
      </w:r>
      <w:r w:rsidR="00726569" w:rsidRPr="00726569">
        <w:rPr>
          <w:rFonts w:ascii="Arial" w:eastAsia="Times New Roman" w:hAnsi="Arial" w:cs="Arial"/>
          <w:color w:val="FFFFFF"/>
          <w:sz w:val="21"/>
          <w:szCs w:val="21"/>
          <w:lang w:eastAsia="it-IT"/>
        </w:rPr>
        <w:t>resso SEDE DI TREVISO - Piazza delle Istituzioni, 12</w:t>
      </w:r>
    </w:p>
    <w:p w:rsidR="00726569" w:rsidRPr="00726569" w:rsidRDefault="00726569" w:rsidP="00726569">
      <w:pPr>
        <w:spacing w:after="0" w:line="255" w:lineRule="atLeast"/>
        <w:textAlignment w:val="baseline"/>
        <w:outlineLvl w:val="1"/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</w:pPr>
      <w:r w:rsidRPr="00726569"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  <w:t>Obiettivi</w:t>
      </w:r>
    </w:p>
    <w:p w:rsidR="00726569" w:rsidRPr="00726569" w:rsidRDefault="0072656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Obiettivo del seminario è da una parte descrivere le procedure organizzative ed i presidi di controllo che devono essere messi in atto al fine di prevenire comportamenti/azioni che possono dar luogo alla commissione del reato presupposto ex D.lgs. 231/01; dall’altra di analizzare la fase “patologica” della Responsabilità amministrativa degli Enti 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D.lgs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 231/01, da quando il magistrato apre il procedimento 231 fino all’esito del processo. 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Nella prima parte la relazione si concentrerà in modo particolare sul concetto di modello organizzativo efficiente e su come, laddove presenti, devono coesistere le varie procedure organizzative previste dai vari sistemi di gestione, il tutto in un’ottica di bilanciamento di regole e nel perimetro del “rischio accettabile”. 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La seconda parte, invece, metterà in risalto gli elementi e le dinamiche che vengono prese in considerazione dal magistrato in fase di avvio del procedimento, del giudizio sull’adeguatezza dei modelli organizzativi e/o della mancata diligenza dell’organismo di vigilanza. Saranno evidenziati, inoltre, anche gli errori da evitare quando l’azienda oppure l’organismo di vigilanza è coinvolto nel procedimento in oggetto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Entrambe le relazioni avranno un taglio molto pratico, facendo ricorso ad esempi giurisprudenziali e di prassi aziendali.</w:t>
      </w:r>
    </w:p>
    <w:p w:rsidR="00726569" w:rsidRPr="00726569" w:rsidRDefault="00726569" w:rsidP="00726569">
      <w:pPr>
        <w:spacing w:after="0" w:line="255" w:lineRule="atLeast"/>
        <w:textAlignment w:val="baseline"/>
        <w:outlineLvl w:val="1"/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</w:pPr>
      <w:r w:rsidRPr="00726569"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  <w:t>Riferimento Normativo</w:t>
      </w:r>
    </w:p>
    <w:p w:rsidR="00726569" w:rsidRPr="00726569" w:rsidRDefault="0072656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D.Lgs.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 231/01</w:t>
      </w:r>
    </w:p>
    <w:p w:rsidR="00726569" w:rsidRPr="00726569" w:rsidRDefault="00726569" w:rsidP="00726569">
      <w:pPr>
        <w:spacing w:after="0" w:line="255" w:lineRule="atLeast"/>
        <w:textAlignment w:val="baseline"/>
        <w:outlineLvl w:val="1"/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</w:pPr>
      <w:r w:rsidRPr="00726569"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  <w:t>A chi è rivolto?</w:t>
      </w:r>
    </w:p>
    <w:p w:rsidR="00726569" w:rsidRPr="00726569" w:rsidRDefault="0072656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- Imprenditori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 xml:space="preserve">- 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Resp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. Ufficio Legale e più in generale le figure che all’interno dell’azienda si occupano della materia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Liberi professionisti (es. Avvocati, Dott. Commercialisti, Membri Organismo di Vigilanza)</w:t>
      </w:r>
    </w:p>
    <w:p w:rsidR="00726569" w:rsidRPr="00726569" w:rsidRDefault="00726569" w:rsidP="00726569">
      <w:pPr>
        <w:spacing w:after="0" w:line="255" w:lineRule="atLeast"/>
        <w:textAlignment w:val="baseline"/>
        <w:outlineLvl w:val="1"/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</w:pPr>
      <w:r w:rsidRPr="00726569"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  <w:t>Relatore</w:t>
      </w:r>
    </w:p>
    <w:p w:rsidR="00726569" w:rsidRPr="00726569" w:rsidRDefault="0072656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Dott. Riccardo Bianconi - 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Accredia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: Esperto sui temi del 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Risk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 Management, Gestione Aziendale per Qualità, Salute e Sicurezza e Security, nonché Auditing a fronte del 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D.Lgs.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 231/01.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Dott. Ciro Santoriello: Sostituto Procuratore di Torino, docente universitario, nonché autore di numerose pubblicazioni in materia di responsabilità amministrativa degli Enti (ex D.lgs. 231/01).</w:t>
      </w:r>
    </w:p>
    <w:p w:rsidR="00726569" w:rsidRPr="00726569" w:rsidRDefault="00726569" w:rsidP="00726569">
      <w:pPr>
        <w:spacing w:after="0" w:line="255" w:lineRule="atLeast"/>
        <w:textAlignment w:val="baseline"/>
        <w:outlineLvl w:val="1"/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</w:pPr>
      <w:r w:rsidRPr="00726569">
        <w:rPr>
          <w:rFonts w:ascii="Arial" w:eastAsia="Times New Roman" w:hAnsi="Arial" w:cs="Arial"/>
          <w:b/>
          <w:bCs/>
          <w:color w:val="4E4F50"/>
          <w:sz w:val="21"/>
          <w:szCs w:val="21"/>
          <w:lang w:eastAsia="it-IT"/>
        </w:rPr>
        <w:t>Programma</w:t>
      </w:r>
    </w:p>
    <w:p w:rsidR="00726569" w:rsidRDefault="0072656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PRIMA PARTE (Relatore: Dott Riccardo Bianconi)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Un MOG efficacemente applicato: da dove cominciare e cosa occorre fare e dimostrare.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 xml:space="preserve">- Un modello di gestione del rischio orientato alla 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Compliance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 e non solo: quale utilità per l’impresa.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La mappatura delle aree a rischio reato (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Risk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 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analysis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), quale elemento centrale per definire i protocolli di controllo e di prevenzione del rischio reato.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La segregazione dei poteri e dei ruoli: chi decide e chi verifica.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 xml:space="preserve">- Le procedure dei vari sistemi di gestione a supporto dei modelli organizzativi ex </w:t>
      </w:r>
      <w:proofErr w:type="spellStart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D.Lgs.</w:t>
      </w:r>
      <w:proofErr w:type="spellEnd"/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 231/01.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La gestione del rischio reato: elementi e relativa struttura.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Quando si può affermare che il modello organizzativo è “efficace”.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Vigilanza: come realizzarla, come dimostrarla.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Chi definisce i protocolli di controllo?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SECONDA PARTE (Relatore: Dott Ciro Santoriello)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L’avvio del procedimento 231: cosa fare e quali errori evitare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Quando il modello organizzativo “supera” l’esame del giudice 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Le sanzioni previste dal Decreto legislativo,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- Sula base di quali criteri vengono applicate le sanzioni?</w:t>
      </w:r>
    </w:p>
    <w:p w:rsidR="00726569" w:rsidRDefault="0072656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</w:p>
    <w:p w:rsidR="00D06909" w:rsidRPr="00726569" w:rsidRDefault="00D06909" w:rsidP="00726569">
      <w:pPr>
        <w:spacing w:after="0" w:line="255" w:lineRule="atLeast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</w:p>
    <w:p w:rsidR="00726569" w:rsidRPr="00726569" w:rsidRDefault="00726569" w:rsidP="00726569">
      <w:pPr>
        <w:pBdr>
          <w:bottom w:val="single" w:sz="6" w:space="15" w:color="DCDCDC"/>
        </w:pBdr>
        <w:spacing w:after="0" w:line="255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bookmarkStart w:id="1" w:name="prices"/>
      <w:bookmarkEnd w:id="1"/>
      <w:r>
        <w:rPr>
          <w:rFonts w:ascii="Arial" w:eastAsia="Times New Roman" w:hAnsi="Arial" w:cs="Arial"/>
          <w:noProof/>
          <w:color w:val="000000"/>
          <w:sz w:val="18"/>
          <w:szCs w:val="18"/>
          <w:lang w:eastAsia="it-IT"/>
        </w:rPr>
        <w:drawing>
          <wp:inline distT="0" distB="0" distL="0" distR="0" wp14:anchorId="223B0759" wp14:editId="4D95B301">
            <wp:extent cx="403860" cy="403860"/>
            <wp:effectExtent l="0" t="0" r="0" b="0"/>
            <wp:docPr id="2" name="Immagine 2" descr="e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69" w:rsidRDefault="00726569" w:rsidP="00726569">
      <w:pPr>
        <w:spacing w:after="0" w:line="255" w:lineRule="atLeast"/>
        <w:ind w:right="300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lastRenderedPageBreak/>
        <w:t>180,00 Euro + IVA 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Durante lo svolgimento, o al termine dell’attività formativa, il materiale didattico verrà reso disponibile in versione digitale.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Per conoscere le Agevolazioni previste sui nostri corsi, consultare le Note Organizzative.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  <w:t>Il corso è accreditato presso l'Ordine degli Avvocati della provincia di Treviso che attribuirà nr. 3 crediti formativi per la partecipazione.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</w:r>
      <w:r w:rsidR="00C87013" w:rsidRPr="00C87013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Il corso è accreditato presso l'Ordine dei Dottori Commercialisti e degli Esperti Contabili della provincia di Treviso che attribuirà nr. 4 crediti formativi per la partecipazione.</w:t>
      </w:r>
    </w:p>
    <w:p w:rsidR="00726569" w:rsidRPr="00726569" w:rsidRDefault="00726569" w:rsidP="00726569">
      <w:pPr>
        <w:spacing w:after="0" w:line="255" w:lineRule="atLeast"/>
        <w:ind w:right="300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</w:p>
    <w:p w:rsidR="00726569" w:rsidRPr="00726569" w:rsidRDefault="00726569" w:rsidP="00726569">
      <w:pPr>
        <w:pBdr>
          <w:bottom w:val="single" w:sz="6" w:space="15" w:color="DCDCDC"/>
        </w:pBdr>
        <w:spacing w:after="0" w:line="255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it-IT"/>
        </w:rPr>
        <w:drawing>
          <wp:inline distT="0" distB="0" distL="0" distR="0" wp14:anchorId="3A3E883C" wp14:editId="0BFD3B25">
            <wp:extent cx="403860" cy="403860"/>
            <wp:effectExtent l="0" t="0" r="0" b="0"/>
            <wp:docPr id="1" name="Immagine 1" descr="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69" w:rsidRPr="00726569" w:rsidRDefault="00726569" w:rsidP="00726569">
      <w:pPr>
        <w:spacing w:after="0" w:line="255" w:lineRule="atLeast"/>
        <w:ind w:right="300"/>
        <w:textAlignment w:val="baseline"/>
        <w:rPr>
          <w:rFonts w:ascii="Arial" w:eastAsia="Times New Roman" w:hAnsi="Arial" w:cs="Arial"/>
          <w:color w:val="595A5B"/>
          <w:sz w:val="18"/>
          <w:szCs w:val="18"/>
          <w:lang w:eastAsia="it-IT"/>
        </w:rPr>
      </w:pPr>
      <w:r w:rsidRPr="00726569">
        <w:rPr>
          <w:rFonts w:ascii="Arial" w:eastAsia="Times New Roman" w:hAnsi="Arial" w:cs="Arial"/>
          <w:b/>
          <w:bCs/>
          <w:color w:val="4E4F50"/>
          <w:sz w:val="18"/>
          <w:szCs w:val="18"/>
          <w:bdr w:val="none" w:sz="0" w:space="0" w:color="auto" w:frame="1"/>
          <w:lang w:eastAsia="it-IT"/>
        </w:rPr>
        <w:t>Area e codice: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 xml:space="preserve"> Modello Organizzativo 231 CA.ORG.F001.18 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br/>
      </w:r>
      <w:r w:rsidRPr="00726569">
        <w:rPr>
          <w:rFonts w:ascii="Arial" w:eastAsia="Times New Roman" w:hAnsi="Arial" w:cs="Arial"/>
          <w:b/>
          <w:bCs/>
          <w:color w:val="4E4F50"/>
          <w:sz w:val="18"/>
          <w:szCs w:val="18"/>
          <w:bdr w:val="none" w:sz="0" w:space="0" w:color="auto" w:frame="1"/>
          <w:lang w:eastAsia="it-IT"/>
        </w:rPr>
        <w:t>Riferimenti:</w:t>
      </w:r>
      <w:r w:rsidRPr="00726569">
        <w:rPr>
          <w:rFonts w:ascii="Arial" w:eastAsia="Times New Roman" w:hAnsi="Arial" w:cs="Arial"/>
          <w:color w:val="595A5B"/>
          <w:sz w:val="18"/>
          <w:szCs w:val="18"/>
          <w:lang w:eastAsia="it-IT"/>
        </w:rPr>
        <w:t> Pasquale Costanzo - 0422/916465 - </w:t>
      </w:r>
      <w:hyperlink r:id="rId9" w:history="1">
        <w:r w:rsidRPr="00726569">
          <w:rPr>
            <w:rFonts w:ascii="Arial" w:eastAsia="Times New Roman" w:hAnsi="Arial" w:cs="Arial"/>
            <w:color w:val="0D75B6"/>
            <w:sz w:val="18"/>
            <w:szCs w:val="18"/>
            <w:u w:val="single"/>
            <w:bdr w:val="none" w:sz="0" w:space="0" w:color="auto" w:frame="1"/>
            <w:lang w:eastAsia="it-IT"/>
          </w:rPr>
          <w:t>dlgs231@unisef.it</w:t>
        </w:r>
      </w:hyperlink>
    </w:p>
    <w:p w:rsidR="005355C9" w:rsidRDefault="00D06909"/>
    <w:sectPr w:rsidR="005355C9" w:rsidSect="00D06909">
      <w:headerReference w:type="default" r:id="rId10"/>
      <w:pgSz w:w="11906" w:h="16838"/>
      <w:pgMar w:top="1921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5A2" w:rsidRDefault="000F25A2" w:rsidP="000F25A2">
      <w:pPr>
        <w:spacing w:after="0" w:line="240" w:lineRule="auto"/>
      </w:pPr>
      <w:r>
        <w:separator/>
      </w:r>
    </w:p>
  </w:endnote>
  <w:endnote w:type="continuationSeparator" w:id="0">
    <w:p w:rsidR="000F25A2" w:rsidRDefault="000F25A2" w:rsidP="000F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5A2" w:rsidRDefault="000F25A2" w:rsidP="000F25A2">
      <w:pPr>
        <w:spacing w:after="0" w:line="240" w:lineRule="auto"/>
      </w:pPr>
      <w:r>
        <w:separator/>
      </w:r>
    </w:p>
  </w:footnote>
  <w:footnote w:type="continuationSeparator" w:id="0">
    <w:p w:rsidR="000F25A2" w:rsidRDefault="000F25A2" w:rsidP="000F2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5A2" w:rsidRDefault="000F25A2" w:rsidP="000F25A2">
    <w:pPr>
      <w:pStyle w:val="Intestazione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1E374AE1" wp14:editId="4A4066B0">
          <wp:simplePos x="0" y="0"/>
          <wp:positionH relativeFrom="column">
            <wp:posOffset>37465</wp:posOffset>
          </wp:positionH>
          <wp:positionV relativeFrom="paragraph">
            <wp:posOffset>158115</wp:posOffset>
          </wp:positionV>
          <wp:extent cx="1920448" cy="533400"/>
          <wp:effectExtent l="0" t="0" r="3810" b="0"/>
          <wp:wrapNone/>
          <wp:docPr id="21" name="Immagine 21" descr="C:\Users\afantin\Desktop\MATERIALI AGGIORNATI\UNIS&amp;F-TvPn-3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antin\Desktop\MATERIALI AGGIORNATI\UNIS&amp;F-TvPn-3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448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0151F"/>
    <w:multiLevelType w:val="multilevel"/>
    <w:tmpl w:val="EA40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69"/>
    <w:rsid w:val="00006F4B"/>
    <w:rsid w:val="000F25A2"/>
    <w:rsid w:val="00175813"/>
    <w:rsid w:val="00453814"/>
    <w:rsid w:val="00726569"/>
    <w:rsid w:val="008B3DEA"/>
    <w:rsid w:val="009C60E4"/>
    <w:rsid w:val="00AB4119"/>
    <w:rsid w:val="00B957DC"/>
    <w:rsid w:val="00C87013"/>
    <w:rsid w:val="00C913F9"/>
    <w:rsid w:val="00D06909"/>
    <w:rsid w:val="00D70D37"/>
    <w:rsid w:val="00E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5378A8-5986-4704-BCAF-CF907E19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26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26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65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2656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2656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2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2656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56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5A2"/>
  </w:style>
  <w:style w:type="paragraph" w:styleId="Pidipagina">
    <w:name w:val="footer"/>
    <w:basedOn w:val="Normale"/>
    <w:link w:val="PidipaginaCarattere"/>
    <w:uiPriority w:val="99"/>
    <w:unhideWhenUsed/>
    <w:rsid w:val="000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6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416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50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21334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86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8465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7522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13652469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86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3940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6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35854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702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17784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5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5675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2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155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CDCDC"/>
                <w:right w:val="none" w:sz="0" w:space="0" w:color="auto"/>
              </w:divBdr>
              <w:divsChild>
                <w:div w:id="5676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lgs231@unisef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Unindustria</dc:creator>
  <cp:lastModifiedBy>Chiara Bonagrazia</cp:lastModifiedBy>
  <cp:revision>5</cp:revision>
  <cp:lastPrinted>2018-01-16T15:42:00Z</cp:lastPrinted>
  <dcterms:created xsi:type="dcterms:W3CDTF">2018-01-16T15:24:00Z</dcterms:created>
  <dcterms:modified xsi:type="dcterms:W3CDTF">2018-01-16T15:44:00Z</dcterms:modified>
</cp:coreProperties>
</file>