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9A" w:rsidRDefault="00C06C9A">
      <w:bookmarkStart w:id="0" w:name="_GoBack"/>
      <w:bookmarkEnd w:id="0"/>
    </w:p>
    <w:p w:rsidR="00C06C9A" w:rsidRDefault="00FB2AE3" w:rsidP="000D5865">
      <w:pPr>
        <w:jc w:val="center"/>
      </w:pPr>
      <w:r>
        <w:rPr>
          <w:rFonts w:ascii="Arial Black" w:eastAsia="SimSun" w:hAnsi="Arial Black" w:cs="Times New Roman"/>
          <w:noProof/>
          <w:color w:val="AFB487"/>
          <w:sz w:val="96"/>
          <w:szCs w:val="96"/>
          <w:lang w:eastAsia="it-IT"/>
        </w:rPr>
        <w:drawing>
          <wp:inline distT="0" distB="0" distL="0" distR="0">
            <wp:extent cx="5076825" cy="2514600"/>
            <wp:effectExtent l="0" t="0" r="9525" b="0"/>
            <wp:docPr id="1" name="Immagine 1" descr="C:\Users\federica.serra\Desktop\FORMAT\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derica.serra\Desktop\FORMAT\Immagi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514600"/>
                    </a:xfrm>
                    <a:prstGeom prst="rect">
                      <a:avLst/>
                    </a:prstGeom>
                    <a:noFill/>
                    <a:ln>
                      <a:noFill/>
                    </a:ln>
                  </pic:spPr>
                </pic:pic>
              </a:graphicData>
            </a:graphic>
          </wp:inline>
        </w:drawing>
      </w:r>
    </w:p>
    <w:p w:rsidR="00FA7E3A" w:rsidRDefault="00FA7E3A" w:rsidP="00FA7E3A">
      <w:pPr>
        <w:pStyle w:val="Dataevento"/>
        <w:spacing w:before="0" w:after="0"/>
        <w:rPr>
          <w:rFonts w:ascii="Arial" w:hAnsi="Arial" w:cs="Arial"/>
          <w:b/>
          <w:color w:val="C00000"/>
        </w:rPr>
      </w:pPr>
    </w:p>
    <w:p w:rsidR="00FA7E3A" w:rsidRPr="00875460" w:rsidRDefault="009C7FED" w:rsidP="00FA7E3A">
      <w:pPr>
        <w:pStyle w:val="Dataevento"/>
        <w:spacing w:before="0" w:after="0"/>
        <w:rPr>
          <w:rFonts w:ascii="Arial" w:hAnsi="Arial" w:cs="Arial"/>
          <w:b/>
          <w:color w:val="C00000"/>
          <w:sz w:val="44"/>
        </w:rPr>
      </w:pPr>
      <w:r w:rsidRPr="00875460">
        <w:rPr>
          <w:rFonts w:ascii="Arial" w:hAnsi="Arial" w:cs="Arial"/>
          <w:b/>
          <w:color w:val="C00000"/>
          <w:sz w:val="44"/>
        </w:rPr>
        <w:t xml:space="preserve">Prima Lezione: </w:t>
      </w:r>
      <w:r w:rsidR="00396937">
        <w:rPr>
          <w:rFonts w:ascii="Arial" w:hAnsi="Arial" w:cs="Arial"/>
          <w:b/>
          <w:color w:val="C00000"/>
          <w:sz w:val="44"/>
        </w:rPr>
        <w:t>07/02</w:t>
      </w:r>
      <w:r w:rsidR="00EF7BA0">
        <w:rPr>
          <w:rFonts w:ascii="Arial" w:hAnsi="Arial" w:cs="Arial"/>
          <w:b/>
          <w:color w:val="C00000"/>
          <w:sz w:val="44"/>
        </w:rPr>
        <w:t>/2018</w:t>
      </w:r>
    </w:p>
    <w:p w:rsidR="00FA7E3A" w:rsidRPr="00FA7E3A" w:rsidRDefault="00FA7E3A" w:rsidP="00FA7E3A">
      <w:pPr>
        <w:pStyle w:val="Dataevento"/>
        <w:spacing w:before="0" w:after="0"/>
        <w:rPr>
          <w:rFonts w:ascii="Arial" w:hAnsi="Arial" w:cs="Arial"/>
          <w:b/>
          <w:color w:val="C00000"/>
          <w:sz w:val="32"/>
          <w:szCs w:val="32"/>
        </w:rPr>
      </w:pPr>
      <w:r w:rsidRPr="00FA7E3A">
        <w:rPr>
          <w:rFonts w:ascii="Arial" w:hAnsi="Arial" w:cs="Arial"/>
          <w:b/>
          <w:color w:val="C00000"/>
          <w:sz w:val="32"/>
          <w:szCs w:val="32"/>
        </w:rPr>
        <w:t xml:space="preserve">Dalle ore </w:t>
      </w:r>
      <w:r w:rsidR="004A7B63">
        <w:rPr>
          <w:rFonts w:ascii="Arial" w:hAnsi="Arial" w:cs="Arial"/>
          <w:b/>
          <w:color w:val="C00000"/>
          <w:sz w:val="32"/>
          <w:szCs w:val="32"/>
        </w:rPr>
        <w:t>09:30 alle ore 13:30</w:t>
      </w:r>
    </w:p>
    <w:p w:rsidR="00FA7E3A" w:rsidRPr="00875460" w:rsidRDefault="00FA7E3A" w:rsidP="00FA7E3A">
      <w:pPr>
        <w:pStyle w:val="Dataevento"/>
        <w:spacing w:before="0" w:after="0"/>
        <w:rPr>
          <w:rFonts w:ascii="Arial" w:hAnsi="Arial" w:cs="Arial"/>
          <w:b/>
          <w:color w:val="C00000"/>
          <w:sz w:val="20"/>
          <w:szCs w:val="20"/>
        </w:rPr>
      </w:pPr>
    </w:p>
    <w:p w:rsidR="00FA7E3A" w:rsidRPr="00875460" w:rsidRDefault="00EF7BA0" w:rsidP="00FA7E3A">
      <w:pPr>
        <w:pStyle w:val="Dataevento"/>
        <w:spacing w:before="0" w:after="0"/>
        <w:rPr>
          <w:rFonts w:ascii="Arial" w:hAnsi="Arial" w:cs="Arial"/>
          <w:b/>
          <w:color w:val="C00000"/>
          <w:sz w:val="44"/>
        </w:rPr>
      </w:pPr>
      <w:r>
        <w:rPr>
          <w:rFonts w:ascii="Arial" w:hAnsi="Arial" w:cs="Arial"/>
          <w:b/>
          <w:color w:val="C00000"/>
          <w:sz w:val="44"/>
        </w:rPr>
        <w:t xml:space="preserve">Seconda Lezione: </w:t>
      </w:r>
      <w:r w:rsidRPr="00EF7BA0">
        <w:rPr>
          <w:rFonts w:ascii="Arial" w:hAnsi="Arial" w:cs="Arial"/>
          <w:b/>
          <w:color w:val="C00000"/>
          <w:sz w:val="44"/>
        </w:rPr>
        <w:t>27/02/2018</w:t>
      </w:r>
    </w:p>
    <w:p w:rsidR="00FA7E3A" w:rsidRDefault="004A7B63" w:rsidP="00FA7E3A">
      <w:pPr>
        <w:pStyle w:val="Dataevento"/>
        <w:spacing w:before="0" w:after="0"/>
        <w:rPr>
          <w:rFonts w:ascii="Arial" w:hAnsi="Arial" w:cs="Arial"/>
          <w:b/>
          <w:color w:val="C00000"/>
          <w:sz w:val="32"/>
          <w:szCs w:val="32"/>
        </w:rPr>
      </w:pPr>
      <w:r>
        <w:rPr>
          <w:rFonts w:ascii="Arial" w:hAnsi="Arial" w:cs="Arial"/>
          <w:b/>
          <w:color w:val="C00000"/>
          <w:sz w:val="32"/>
          <w:szCs w:val="32"/>
        </w:rPr>
        <w:t>Dalle ore 09:30 alle ore 13:3</w:t>
      </w:r>
      <w:r w:rsidR="00FA7E3A" w:rsidRPr="00FA7E3A">
        <w:rPr>
          <w:rFonts w:ascii="Arial" w:hAnsi="Arial" w:cs="Arial"/>
          <w:b/>
          <w:color w:val="C00000"/>
          <w:sz w:val="32"/>
          <w:szCs w:val="32"/>
        </w:rPr>
        <w:t>0</w:t>
      </w:r>
    </w:p>
    <w:p w:rsidR="004A7B63" w:rsidRPr="00875460" w:rsidRDefault="004A7B63" w:rsidP="00FA7E3A">
      <w:pPr>
        <w:pStyle w:val="Dataevento"/>
        <w:spacing w:before="0" w:after="0"/>
        <w:rPr>
          <w:rFonts w:ascii="Arial" w:hAnsi="Arial" w:cs="Arial"/>
          <w:b/>
          <w:color w:val="C00000"/>
          <w:sz w:val="20"/>
          <w:szCs w:val="20"/>
        </w:rPr>
      </w:pPr>
    </w:p>
    <w:p w:rsidR="004A7B63" w:rsidRPr="00875460" w:rsidRDefault="00FB3896" w:rsidP="004A7B63">
      <w:pPr>
        <w:pStyle w:val="Dataevento"/>
        <w:spacing w:before="0" w:after="0"/>
        <w:rPr>
          <w:rFonts w:ascii="Arial" w:hAnsi="Arial" w:cs="Arial"/>
          <w:b/>
          <w:color w:val="C00000"/>
          <w:sz w:val="44"/>
        </w:rPr>
      </w:pPr>
      <w:r w:rsidRPr="00875460">
        <w:rPr>
          <w:rFonts w:ascii="Arial" w:hAnsi="Arial" w:cs="Arial"/>
          <w:b/>
          <w:color w:val="C00000"/>
          <w:sz w:val="44"/>
        </w:rPr>
        <w:t xml:space="preserve">Terza Lezione: </w:t>
      </w:r>
      <w:r w:rsidR="00AC0DD1">
        <w:rPr>
          <w:rFonts w:ascii="Arial" w:hAnsi="Arial" w:cs="Arial"/>
          <w:b/>
          <w:color w:val="C00000"/>
          <w:sz w:val="44"/>
        </w:rPr>
        <w:t>09</w:t>
      </w:r>
      <w:r w:rsidR="00EF7BA0" w:rsidRPr="00EF7BA0">
        <w:rPr>
          <w:rFonts w:ascii="Arial" w:hAnsi="Arial" w:cs="Arial"/>
          <w:b/>
          <w:color w:val="C00000"/>
          <w:sz w:val="44"/>
        </w:rPr>
        <w:t>/03/2018</w:t>
      </w:r>
    </w:p>
    <w:p w:rsidR="004A7B63" w:rsidRPr="00FA7E3A" w:rsidRDefault="004A7B63" w:rsidP="004A7B63">
      <w:pPr>
        <w:pStyle w:val="Dataevento"/>
        <w:spacing w:before="0" w:after="0"/>
        <w:rPr>
          <w:rFonts w:ascii="Arial" w:hAnsi="Arial" w:cs="Arial"/>
          <w:b/>
          <w:color w:val="C00000"/>
          <w:sz w:val="32"/>
          <w:szCs w:val="32"/>
        </w:rPr>
      </w:pPr>
      <w:r>
        <w:rPr>
          <w:rFonts w:ascii="Arial" w:hAnsi="Arial" w:cs="Arial"/>
          <w:b/>
          <w:color w:val="C00000"/>
          <w:sz w:val="32"/>
          <w:szCs w:val="32"/>
        </w:rPr>
        <w:t>Dalle ore 09:30 alle ore 13:3</w:t>
      </w:r>
      <w:r w:rsidRPr="00FA7E3A">
        <w:rPr>
          <w:rFonts w:ascii="Arial" w:hAnsi="Arial" w:cs="Arial"/>
          <w:b/>
          <w:color w:val="C00000"/>
          <w:sz w:val="32"/>
          <w:szCs w:val="32"/>
        </w:rPr>
        <w:t>0</w:t>
      </w:r>
    </w:p>
    <w:p w:rsidR="00633BEF" w:rsidRPr="000112D8" w:rsidRDefault="00633BEF" w:rsidP="00633BEF">
      <w:pPr>
        <w:tabs>
          <w:tab w:val="left" w:pos="567"/>
        </w:tabs>
        <w:ind w:left="142"/>
        <w:jc w:val="both"/>
        <w:rPr>
          <w:rFonts w:eastAsiaTheme="minorHAnsi"/>
          <w:color w:val="C00000"/>
          <w:lang w:eastAsia="en-US"/>
        </w:rPr>
      </w:pPr>
    </w:p>
    <w:p w:rsidR="00AC0DD1" w:rsidRPr="00AC0DD1" w:rsidRDefault="00AC0DD1" w:rsidP="00AC0DD1">
      <w:pPr>
        <w:pStyle w:val="Corpotesto"/>
        <w:ind w:right="369"/>
        <w:rPr>
          <w:rFonts w:ascii="Arial" w:hAnsi="Arial" w:cs="Arial"/>
          <w:b/>
          <w:i/>
          <w:color w:val="808080" w:themeColor="background1" w:themeShade="80"/>
          <w:sz w:val="22"/>
          <w:szCs w:val="22"/>
          <w:u w:val="single"/>
        </w:rPr>
      </w:pPr>
      <w:r w:rsidRPr="00AC0DD1">
        <w:rPr>
          <w:rFonts w:ascii="Arial" w:hAnsi="Arial" w:cs="Arial"/>
          <w:b/>
          <w:i/>
          <w:color w:val="808080" w:themeColor="background1" w:themeShade="80"/>
          <w:sz w:val="22"/>
          <w:szCs w:val="22"/>
          <w:u w:val="single"/>
        </w:rPr>
        <w:t>Il Master in oggetto è in corso di accreditamento presso l’Ordine dei Dottori Commercialisti e degli Esperti Contabili di Modena</w:t>
      </w:r>
    </w:p>
    <w:p w:rsidR="00C06C9A" w:rsidRDefault="000112D8" w:rsidP="000112D8">
      <w:pPr>
        <w:pStyle w:val="Spaziatore"/>
        <w:pBdr>
          <w:top w:val="single" w:sz="4" w:space="1" w:color="002060"/>
          <w:left w:val="single" w:sz="4" w:space="4" w:color="002060"/>
          <w:bottom w:val="single" w:sz="4" w:space="1" w:color="002060"/>
          <w:right w:val="single" w:sz="4" w:space="4" w:color="002060"/>
        </w:pBdr>
        <w:shd w:val="clear" w:color="auto" w:fill="002060"/>
        <w:tabs>
          <w:tab w:val="left" w:pos="6030"/>
        </w:tabs>
        <w:ind w:left="142"/>
        <w:jc w:val="left"/>
      </w:pPr>
      <w:r>
        <w:tab/>
      </w:r>
    </w:p>
    <w:p w:rsidR="00C06C9A" w:rsidRPr="009F7FBF" w:rsidRDefault="00FA7E3A" w:rsidP="000112D8">
      <w:pPr>
        <w:pStyle w:val="Corpotesto"/>
        <w:ind w:right="369"/>
        <w:rPr>
          <w:rFonts w:ascii="Arial" w:hAnsi="Arial" w:cs="Arial"/>
          <w:i/>
          <w:color w:val="808080" w:themeColor="background1" w:themeShade="80"/>
          <w:sz w:val="22"/>
          <w:szCs w:val="22"/>
        </w:rPr>
      </w:pPr>
      <w:r w:rsidRPr="009F7FBF">
        <w:rPr>
          <w:rFonts w:ascii="Arial" w:hAnsi="Arial" w:cs="Arial"/>
          <w:i/>
          <w:color w:val="808080" w:themeColor="background1" w:themeShade="80"/>
          <w:sz w:val="22"/>
          <w:szCs w:val="22"/>
        </w:rPr>
        <w:t xml:space="preserve">La Formazione Professionale necessaria per l’iscrizione ed il mantenimento della stessa negli elenchi della Prefettura (crediti </w:t>
      </w:r>
      <w:r w:rsidR="00FF0577">
        <w:rPr>
          <w:rFonts w:ascii="Arial" w:hAnsi="Arial" w:cs="Arial"/>
          <w:i/>
          <w:color w:val="808080" w:themeColor="background1" w:themeShade="80"/>
          <w:sz w:val="22"/>
          <w:szCs w:val="22"/>
        </w:rPr>
        <w:t>formativi validi per l’anno 2018</w:t>
      </w:r>
      <w:r w:rsidRPr="009F7FBF">
        <w:rPr>
          <w:rFonts w:ascii="Arial" w:hAnsi="Arial" w:cs="Arial"/>
          <w:i/>
          <w:color w:val="808080" w:themeColor="background1" w:themeShade="80"/>
          <w:sz w:val="22"/>
          <w:szCs w:val="22"/>
        </w:rPr>
        <w:t>).</w:t>
      </w:r>
    </w:p>
    <w:p w:rsidR="00FA7E3A" w:rsidRPr="009F7FBF" w:rsidRDefault="00FF0577" w:rsidP="000112D8">
      <w:pPr>
        <w:pStyle w:val="Corpotesto"/>
        <w:ind w:right="369"/>
        <w:rPr>
          <w:rFonts w:ascii="Arial" w:hAnsi="Arial" w:cs="Arial"/>
          <w:i/>
          <w:color w:val="808080" w:themeColor="background1" w:themeShade="80"/>
          <w:sz w:val="22"/>
          <w:szCs w:val="22"/>
        </w:rPr>
      </w:pPr>
      <w:r>
        <w:rPr>
          <w:rFonts w:ascii="Arial" w:hAnsi="Arial" w:cs="Arial"/>
          <w:i/>
          <w:color w:val="808080" w:themeColor="background1" w:themeShade="80"/>
          <w:sz w:val="22"/>
          <w:szCs w:val="22"/>
        </w:rPr>
        <w:t>Il Master 2018</w:t>
      </w:r>
      <w:r w:rsidR="00FA7E3A" w:rsidRPr="009F7FBF">
        <w:rPr>
          <w:rFonts w:ascii="Arial" w:hAnsi="Arial" w:cs="Arial"/>
          <w:i/>
          <w:color w:val="808080" w:themeColor="background1" w:themeShade="80"/>
          <w:sz w:val="22"/>
          <w:szCs w:val="22"/>
        </w:rPr>
        <w:t xml:space="preserve"> ha l’obiettivo di approfondire le tematiche trattate anche alla luce delle ultime novità normative intervenute. I compiti del Revisore dei Conti dell’Ente Locale sono sempre in costante aumento, così come sono crescenti le responsabilità. Ciò impone un adeguato aggiornamento professionale per il quale il Master vuole essere una risposta adeguata e puntuale, così da offrire l’opportunità a chi svolge l’attività di Revisore (o vuole farlo) di conoscere la Giurisprudenza più importante della Corte dei Conti in materia, e tutte le principali novità di rilievo.</w:t>
      </w:r>
    </w:p>
    <w:p w:rsidR="004A7B63" w:rsidRPr="009F7FBF" w:rsidRDefault="004A7B63" w:rsidP="000112D8">
      <w:pPr>
        <w:pStyle w:val="Corpotesto"/>
        <w:ind w:right="369"/>
        <w:rPr>
          <w:rFonts w:ascii="Arial" w:hAnsi="Arial" w:cs="Arial"/>
          <w:i/>
          <w:color w:val="808080" w:themeColor="background1" w:themeShade="80"/>
          <w:sz w:val="22"/>
          <w:szCs w:val="22"/>
          <w:u w:val="single"/>
        </w:rPr>
      </w:pPr>
      <w:r w:rsidRPr="009F7FBF">
        <w:rPr>
          <w:rFonts w:ascii="Arial" w:hAnsi="Arial" w:cs="Arial"/>
          <w:i/>
          <w:color w:val="808080" w:themeColor="background1" w:themeShade="80"/>
          <w:sz w:val="22"/>
          <w:szCs w:val="22"/>
          <w:u w:val="single"/>
        </w:rPr>
        <w:t>Il Master in oggetto è in corso di accreditamento presso l’Ordine dei Dottori Commercialisti e de</w:t>
      </w:r>
      <w:r w:rsidR="00FB3896" w:rsidRPr="009F7FBF">
        <w:rPr>
          <w:rFonts w:ascii="Arial" w:hAnsi="Arial" w:cs="Arial"/>
          <w:i/>
          <w:color w:val="808080" w:themeColor="background1" w:themeShade="80"/>
          <w:sz w:val="22"/>
          <w:szCs w:val="22"/>
          <w:u w:val="single"/>
        </w:rPr>
        <w:t>gli Esperti Contabili di Modena</w:t>
      </w:r>
    </w:p>
    <w:p w:rsidR="00FA7E3A" w:rsidRPr="009F7FBF" w:rsidRDefault="00777B73" w:rsidP="000112D8">
      <w:pPr>
        <w:pStyle w:val="Corpotesto"/>
        <w:ind w:right="369"/>
        <w:rPr>
          <w:i/>
          <w:color w:val="808080" w:themeColor="background1" w:themeShade="80"/>
          <w:u w:val="single"/>
        </w:rPr>
      </w:pPr>
      <w:r w:rsidRPr="009F7FBF">
        <w:rPr>
          <w:rFonts w:ascii="Arial" w:hAnsi="Arial" w:cs="Arial"/>
          <w:i/>
          <w:color w:val="808080" w:themeColor="background1" w:themeShade="80"/>
          <w:sz w:val="22"/>
          <w:szCs w:val="22"/>
          <w:u w:val="single"/>
        </w:rPr>
        <w:t>Il programma formativo è in corso di validazione presso il Ministero dell’Interno (ex art. 3 D.M. 15/02/2012 n°23)</w:t>
      </w:r>
    </w:p>
    <w:p w:rsidR="00C06C9A" w:rsidRDefault="00C06C9A" w:rsidP="000112D8">
      <w:pPr>
        <w:pStyle w:val="Spaziatore"/>
        <w:pBdr>
          <w:top w:val="single" w:sz="4" w:space="1" w:color="002060"/>
          <w:left w:val="single" w:sz="4" w:space="4" w:color="002060"/>
          <w:bottom w:val="single" w:sz="4" w:space="1" w:color="002060"/>
          <w:right w:val="single" w:sz="4" w:space="4" w:color="002060"/>
        </w:pBdr>
        <w:shd w:val="clear" w:color="auto" w:fill="002060"/>
        <w:ind w:hanging="720"/>
      </w:pPr>
    </w:p>
    <w:p w:rsidR="00C06C9A" w:rsidRDefault="00C06C9A"/>
    <w:p w:rsidR="000112D8" w:rsidRDefault="000112D8"/>
    <w:p w:rsidR="004A7B63" w:rsidRDefault="000112D8" w:rsidP="000112D8">
      <w:pPr>
        <w:spacing w:line="276" w:lineRule="auto"/>
        <w:ind w:left="142"/>
        <w:jc w:val="center"/>
        <w:rPr>
          <w:rFonts w:eastAsiaTheme="minorHAnsi"/>
          <w:color w:val="C00000"/>
          <w:sz w:val="32"/>
          <w:szCs w:val="32"/>
          <w:lang w:eastAsia="en-US"/>
        </w:rPr>
      </w:pPr>
      <w:r w:rsidRPr="000112D8">
        <w:rPr>
          <w:rFonts w:eastAsiaTheme="minorHAnsi"/>
          <w:color w:val="C00000"/>
          <w:sz w:val="32"/>
          <w:szCs w:val="32"/>
          <w:lang w:eastAsia="en-US"/>
        </w:rPr>
        <w:t>Relator</w:t>
      </w:r>
      <w:r w:rsidR="004A7B63">
        <w:rPr>
          <w:rFonts w:eastAsiaTheme="minorHAnsi"/>
          <w:color w:val="C00000"/>
          <w:sz w:val="32"/>
          <w:szCs w:val="32"/>
          <w:lang w:eastAsia="en-US"/>
        </w:rPr>
        <w:t>i:</w:t>
      </w:r>
    </w:p>
    <w:p w:rsidR="004A7B63" w:rsidRDefault="004A7B63" w:rsidP="000112D8">
      <w:pPr>
        <w:spacing w:line="276" w:lineRule="auto"/>
        <w:ind w:left="142"/>
        <w:jc w:val="center"/>
        <w:rPr>
          <w:rFonts w:eastAsiaTheme="minorHAnsi"/>
          <w:color w:val="C00000"/>
          <w:sz w:val="32"/>
          <w:szCs w:val="32"/>
          <w:lang w:eastAsia="en-US"/>
        </w:rPr>
      </w:pPr>
    </w:p>
    <w:p w:rsidR="004A7B63" w:rsidRDefault="004A7B63" w:rsidP="000112D8">
      <w:pPr>
        <w:spacing w:line="276" w:lineRule="auto"/>
        <w:ind w:left="142"/>
        <w:jc w:val="center"/>
        <w:rPr>
          <w:rFonts w:eastAsiaTheme="minorHAnsi"/>
          <w:color w:val="C00000"/>
          <w:sz w:val="32"/>
          <w:szCs w:val="32"/>
          <w:lang w:eastAsia="en-US"/>
        </w:rPr>
      </w:pPr>
    </w:p>
    <w:p w:rsidR="00AC0DD1" w:rsidRDefault="00AC0DD1" w:rsidP="00AC0DD1">
      <w:pPr>
        <w:spacing w:line="276" w:lineRule="auto"/>
        <w:ind w:left="142"/>
        <w:jc w:val="center"/>
        <w:rPr>
          <w:rFonts w:eastAsiaTheme="minorHAnsi"/>
          <w:b/>
          <w:color w:val="C00000"/>
          <w:sz w:val="32"/>
          <w:szCs w:val="32"/>
          <w:lang w:eastAsia="en-US"/>
        </w:rPr>
      </w:pPr>
      <w:r>
        <w:rPr>
          <w:rFonts w:eastAsiaTheme="minorHAnsi"/>
          <w:b/>
          <w:color w:val="C00000"/>
          <w:sz w:val="32"/>
          <w:szCs w:val="32"/>
          <w:lang w:eastAsia="en-US"/>
        </w:rPr>
        <w:t>Marco Castellani</w:t>
      </w:r>
    </w:p>
    <w:p w:rsidR="00AC0DD1" w:rsidRPr="004A7B63" w:rsidRDefault="00AC0DD1" w:rsidP="00AC0DD1">
      <w:pPr>
        <w:spacing w:line="276" w:lineRule="auto"/>
        <w:ind w:left="142"/>
        <w:jc w:val="center"/>
        <w:rPr>
          <w:rFonts w:eastAsiaTheme="minorHAnsi"/>
          <w:color w:val="auto"/>
          <w:sz w:val="20"/>
          <w:szCs w:val="20"/>
          <w:lang w:eastAsia="en-US"/>
        </w:rPr>
      </w:pPr>
      <w:r>
        <w:rPr>
          <w:rFonts w:eastAsiaTheme="minorHAnsi"/>
          <w:color w:val="auto"/>
          <w:sz w:val="20"/>
          <w:szCs w:val="20"/>
          <w:lang w:eastAsia="en-US"/>
        </w:rPr>
        <w:t>Dottore Commercialista, Revisore Legale e Consulente di UPI Emilia-Romagna</w:t>
      </w:r>
    </w:p>
    <w:p w:rsidR="004A7B63" w:rsidRDefault="004A7B63" w:rsidP="000112D8">
      <w:pPr>
        <w:spacing w:line="360" w:lineRule="auto"/>
        <w:ind w:left="142"/>
        <w:jc w:val="center"/>
        <w:rPr>
          <w:rFonts w:eastAsiaTheme="minorHAnsi"/>
          <w:color w:val="auto"/>
          <w:sz w:val="20"/>
          <w:szCs w:val="20"/>
          <w:lang w:eastAsia="en-US"/>
        </w:rPr>
      </w:pPr>
    </w:p>
    <w:p w:rsidR="004A7B63" w:rsidRDefault="004A7B63" w:rsidP="004A7B63">
      <w:pPr>
        <w:spacing w:line="276" w:lineRule="auto"/>
        <w:ind w:left="142"/>
        <w:jc w:val="center"/>
        <w:rPr>
          <w:rFonts w:eastAsiaTheme="minorHAnsi"/>
          <w:b/>
          <w:color w:val="C00000"/>
          <w:sz w:val="32"/>
          <w:szCs w:val="32"/>
          <w:lang w:eastAsia="en-US"/>
        </w:rPr>
      </w:pPr>
      <w:r w:rsidRPr="004A7B63">
        <w:rPr>
          <w:rFonts w:eastAsiaTheme="minorHAnsi"/>
          <w:b/>
          <w:color w:val="C00000"/>
          <w:sz w:val="32"/>
          <w:szCs w:val="32"/>
          <w:lang w:eastAsia="en-US"/>
        </w:rPr>
        <w:t xml:space="preserve">Riccardo Patumi </w:t>
      </w:r>
    </w:p>
    <w:p w:rsidR="004A7B63" w:rsidRDefault="004A7B63" w:rsidP="004A7B63">
      <w:pPr>
        <w:spacing w:line="360" w:lineRule="auto"/>
        <w:ind w:left="142"/>
        <w:jc w:val="center"/>
        <w:rPr>
          <w:rFonts w:eastAsiaTheme="minorHAnsi"/>
          <w:color w:val="auto"/>
          <w:sz w:val="20"/>
          <w:szCs w:val="20"/>
          <w:lang w:eastAsia="en-US"/>
        </w:rPr>
      </w:pPr>
      <w:r w:rsidRPr="004A7B63">
        <w:rPr>
          <w:rFonts w:eastAsiaTheme="minorHAnsi"/>
          <w:color w:val="auto"/>
          <w:sz w:val="20"/>
          <w:szCs w:val="20"/>
          <w:lang w:eastAsia="en-US"/>
        </w:rPr>
        <w:t>Magistrato della Corte dei Conti, sezione Controllo per l’Emilia-Romagna</w:t>
      </w:r>
    </w:p>
    <w:p w:rsidR="004A7B63" w:rsidRDefault="004A7B63" w:rsidP="004A7B63">
      <w:pPr>
        <w:spacing w:line="360" w:lineRule="auto"/>
        <w:ind w:left="142"/>
        <w:jc w:val="center"/>
        <w:rPr>
          <w:rFonts w:eastAsiaTheme="minorHAnsi"/>
          <w:color w:val="auto"/>
          <w:sz w:val="20"/>
          <w:szCs w:val="20"/>
          <w:lang w:eastAsia="en-US"/>
        </w:rPr>
      </w:pPr>
    </w:p>
    <w:p w:rsidR="004A7B63" w:rsidRDefault="004A7B63" w:rsidP="004A7B63">
      <w:pPr>
        <w:spacing w:line="276" w:lineRule="auto"/>
        <w:ind w:left="142"/>
        <w:jc w:val="center"/>
        <w:rPr>
          <w:rFonts w:eastAsiaTheme="minorHAnsi"/>
          <w:b/>
          <w:color w:val="C00000"/>
          <w:sz w:val="32"/>
          <w:szCs w:val="32"/>
          <w:lang w:eastAsia="en-US"/>
        </w:rPr>
      </w:pPr>
      <w:r w:rsidRPr="004A7B63">
        <w:rPr>
          <w:rFonts w:eastAsiaTheme="minorHAnsi"/>
          <w:b/>
          <w:color w:val="C00000"/>
          <w:sz w:val="32"/>
          <w:szCs w:val="32"/>
          <w:lang w:eastAsia="en-US"/>
        </w:rPr>
        <w:t>Tiziano Tessaro</w:t>
      </w:r>
    </w:p>
    <w:p w:rsidR="004A7B63" w:rsidRPr="004A7B63" w:rsidRDefault="004A7B63" w:rsidP="004A7B63">
      <w:pPr>
        <w:spacing w:line="276" w:lineRule="auto"/>
        <w:ind w:left="142"/>
        <w:jc w:val="center"/>
        <w:rPr>
          <w:rFonts w:eastAsiaTheme="minorHAnsi"/>
          <w:color w:val="auto"/>
          <w:sz w:val="20"/>
          <w:szCs w:val="20"/>
          <w:lang w:eastAsia="en-US"/>
        </w:rPr>
      </w:pPr>
      <w:r w:rsidRPr="004A7B63">
        <w:rPr>
          <w:rFonts w:eastAsiaTheme="minorHAnsi"/>
          <w:color w:val="auto"/>
          <w:sz w:val="20"/>
          <w:szCs w:val="20"/>
          <w:lang w:eastAsia="en-US"/>
        </w:rPr>
        <w:t>Magistrato della Corte dei Conti, sezione Controllo per il Veneto</w:t>
      </w:r>
    </w:p>
    <w:p w:rsidR="000112D8" w:rsidRPr="000112D8" w:rsidRDefault="000112D8" w:rsidP="000112D8">
      <w:pPr>
        <w:spacing w:line="360" w:lineRule="auto"/>
        <w:ind w:left="142"/>
        <w:jc w:val="center"/>
        <w:rPr>
          <w:rFonts w:eastAsiaTheme="minorHAnsi"/>
          <w:color w:val="auto"/>
          <w:sz w:val="20"/>
          <w:szCs w:val="20"/>
          <w:lang w:eastAsia="en-US"/>
        </w:rPr>
      </w:pPr>
    </w:p>
    <w:p w:rsidR="004A7B63" w:rsidRPr="000112D8" w:rsidRDefault="004A7B63" w:rsidP="00BC7480">
      <w:pPr>
        <w:spacing w:line="360" w:lineRule="auto"/>
        <w:rPr>
          <w:rFonts w:eastAsiaTheme="minorHAnsi"/>
          <w:color w:val="auto"/>
          <w:sz w:val="20"/>
          <w:szCs w:val="20"/>
          <w:lang w:eastAsia="en-US"/>
        </w:rPr>
      </w:pPr>
    </w:p>
    <w:p w:rsidR="000112D8" w:rsidRPr="000112D8" w:rsidRDefault="000112D8" w:rsidP="000112D8">
      <w:pPr>
        <w:spacing w:line="360" w:lineRule="auto"/>
        <w:ind w:left="142"/>
        <w:jc w:val="center"/>
        <w:rPr>
          <w:rFonts w:eastAsiaTheme="minorHAnsi"/>
          <w:color w:val="auto"/>
          <w:sz w:val="20"/>
          <w:szCs w:val="20"/>
          <w:lang w:eastAsia="en-US"/>
        </w:rPr>
      </w:pPr>
    </w:p>
    <w:p w:rsidR="000112D8" w:rsidRPr="000112D8" w:rsidRDefault="000112D8" w:rsidP="000112D8">
      <w:pPr>
        <w:ind w:left="142"/>
        <w:rPr>
          <w:rFonts w:eastAsiaTheme="minorHAnsi"/>
          <w:color w:val="auto"/>
          <w:sz w:val="20"/>
          <w:szCs w:val="20"/>
          <w:lang w:eastAsia="en-US"/>
        </w:rPr>
      </w:pPr>
      <w:r w:rsidRPr="000112D8">
        <w:rPr>
          <w:rFonts w:eastAsiaTheme="minorHAnsi"/>
          <w:color w:val="C00000"/>
          <w:lang w:eastAsia="en-US"/>
        </w:rPr>
        <w:t xml:space="preserve">Destinatari: </w:t>
      </w:r>
    </w:p>
    <w:p w:rsidR="000112D8" w:rsidRPr="000112D8" w:rsidRDefault="000112D8" w:rsidP="000112D8">
      <w:pPr>
        <w:tabs>
          <w:tab w:val="left" w:pos="567"/>
        </w:tabs>
        <w:ind w:left="142"/>
        <w:jc w:val="both"/>
        <w:rPr>
          <w:rFonts w:eastAsia="Arial Unicode MS"/>
          <w:color w:val="auto"/>
          <w:sz w:val="20"/>
          <w:szCs w:val="20"/>
          <w:lang w:eastAsia="it-IT"/>
        </w:rPr>
      </w:pPr>
      <w:r w:rsidRPr="000112D8">
        <w:rPr>
          <w:rFonts w:eastAsia="Arial Unicode MS"/>
          <w:color w:val="auto"/>
          <w:sz w:val="20"/>
          <w:szCs w:val="20"/>
          <w:lang w:eastAsia="it-IT"/>
        </w:rPr>
        <w:t>Commercialisti, Revisori dei Conti di Enti Locali e delle società ed aziende partecipate, Responsabili dei servizi finanziari, Responsabili dei sistemi di controllo interno, Dirigenti e Responsabili dei servizi, Assessori al bilancio, Amministratori, Dirigenti, Professionisti Revisori degli Enti Locali  e Tecnici degli Enti Locali.</w:t>
      </w:r>
    </w:p>
    <w:p w:rsidR="000112D8" w:rsidRDefault="000112D8" w:rsidP="000112D8">
      <w:pPr>
        <w:tabs>
          <w:tab w:val="left" w:pos="567"/>
        </w:tabs>
        <w:ind w:left="142"/>
        <w:jc w:val="both"/>
        <w:rPr>
          <w:rFonts w:eastAsia="Arial Unicode MS"/>
          <w:color w:val="auto"/>
          <w:sz w:val="20"/>
          <w:szCs w:val="20"/>
          <w:lang w:eastAsia="it-IT"/>
        </w:rPr>
      </w:pPr>
    </w:p>
    <w:p w:rsidR="004A7B63" w:rsidRPr="000112D8" w:rsidRDefault="004A7B63" w:rsidP="000112D8">
      <w:pPr>
        <w:tabs>
          <w:tab w:val="left" w:pos="567"/>
        </w:tabs>
        <w:ind w:left="142"/>
        <w:jc w:val="both"/>
        <w:rPr>
          <w:rFonts w:eastAsia="Arial Unicode MS"/>
          <w:color w:val="auto"/>
          <w:sz w:val="20"/>
          <w:szCs w:val="20"/>
          <w:lang w:eastAsia="it-IT"/>
        </w:rPr>
      </w:pPr>
    </w:p>
    <w:p w:rsidR="000112D8" w:rsidRPr="000112D8" w:rsidRDefault="000112D8" w:rsidP="000112D8">
      <w:pPr>
        <w:spacing w:line="276" w:lineRule="auto"/>
        <w:ind w:left="142"/>
        <w:rPr>
          <w:rFonts w:eastAsiaTheme="minorHAnsi"/>
          <w:color w:val="C00000"/>
          <w:lang w:eastAsia="en-US"/>
        </w:rPr>
      </w:pPr>
      <w:r w:rsidRPr="000112D8">
        <w:rPr>
          <w:rFonts w:eastAsiaTheme="minorHAnsi"/>
          <w:color w:val="C00000"/>
          <w:lang w:eastAsia="en-US"/>
        </w:rPr>
        <w:t>Metodologia e Materiale Didattico:</w:t>
      </w:r>
    </w:p>
    <w:p w:rsidR="000112D8" w:rsidRPr="000112D8" w:rsidRDefault="000112D8" w:rsidP="000112D8">
      <w:pPr>
        <w:tabs>
          <w:tab w:val="left" w:pos="567"/>
        </w:tabs>
        <w:ind w:left="142"/>
        <w:jc w:val="both"/>
        <w:rPr>
          <w:rFonts w:eastAsia="Arial Unicode MS"/>
          <w:color w:val="auto"/>
          <w:sz w:val="20"/>
          <w:szCs w:val="20"/>
          <w:lang w:eastAsia="it-IT"/>
        </w:rPr>
      </w:pPr>
      <w:r w:rsidRPr="000112D8">
        <w:rPr>
          <w:rFonts w:eastAsia="Arial Unicode MS"/>
          <w:color w:val="auto"/>
          <w:sz w:val="20"/>
          <w:szCs w:val="20"/>
          <w:lang w:eastAsia="it-IT"/>
        </w:rPr>
        <w:t>Le lezioni di impostazione teorico/pratica, arricchite da esercitazioni, forniranno il quadro normativo aggiornato, le nozioni teoriche e gli approfondimenti operativi indispensabili per far comprendere i principali adempimenti che i Revisori degli Enti Locali sono chiamati ad assolvere nello svolgimento del proprio incarico. Ai partecipanti verrà anticipato, in formato elettronico, il materiale didattico e normativo predisposto dal Docente.</w:t>
      </w:r>
    </w:p>
    <w:p w:rsidR="000112D8" w:rsidRPr="000112D8" w:rsidRDefault="000112D8" w:rsidP="000112D8">
      <w:pPr>
        <w:tabs>
          <w:tab w:val="left" w:pos="567"/>
        </w:tabs>
        <w:jc w:val="both"/>
        <w:rPr>
          <w:rFonts w:eastAsia="Arial Unicode MS"/>
          <w:color w:val="auto"/>
          <w:sz w:val="20"/>
          <w:szCs w:val="20"/>
          <w:lang w:eastAsia="it-IT"/>
        </w:rPr>
      </w:pPr>
    </w:p>
    <w:p w:rsidR="000112D8" w:rsidRPr="000112D8" w:rsidRDefault="000112D8" w:rsidP="000112D8">
      <w:pPr>
        <w:tabs>
          <w:tab w:val="left" w:pos="567"/>
        </w:tabs>
        <w:ind w:left="142"/>
        <w:jc w:val="both"/>
        <w:rPr>
          <w:rFonts w:eastAsia="Arial Unicode MS"/>
          <w:color w:val="auto"/>
          <w:sz w:val="20"/>
          <w:szCs w:val="20"/>
          <w:lang w:eastAsia="it-IT"/>
        </w:rPr>
      </w:pPr>
    </w:p>
    <w:p w:rsidR="000112D8" w:rsidRPr="000112D8" w:rsidRDefault="000112D8" w:rsidP="000112D8">
      <w:pPr>
        <w:tabs>
          <w:tab w:val="left" w:pos="567"/>
        </w:tabs>
        <w:ind w:left="142"/>
        <w:jc w:val="both"/>
        <w:rPr>
          <w:rFonts w:eastAsiaTheme="minorHAnsi"/>
          <w:color w:val="C00000"/>
          <w:lang w:eastAsia="en-US"/>
        </w:rPr>
      </w:pPr>
      <w:r w:rsidRPr="000112D8">
        <w:rPr>
          <w:rFonts w:eastAsiaTheme="minorHAnsi"/>
          <w:color w:val="C00000"/>
          <w:lang w:eastAsia="en-US"/>
        </w:rPr>
        <w:t>Modalità di iscrizione:</w:t>
      </w:r>
    </w:p>
    <w:p w:rsidR="004A7B63" w:rsidRPr="000112D8" w:rsidRDefault="00C21C24" w:rsidP="00FB3896">
      <w:pPr>
        <w:tabs>
          <w:tab w:val="left" w:pos="567"/>
        </w:tabs>
        <w:ind w:left="142"/>
        <w:jc w:val="both"/>
        <w:rPr>
          <w:rFonts w:eastAsia="Arial Unicode MS"/>
          <w:color w:val="auto"/>
          <w:sz w:val="20"/>
          <w:szCs w:val="20"/>
          <w:lang w:eastAsia="it-IT"/>
        </w:rPr>
      </w:pPr>
      <w:r>
        <w:rPr>
          <w:rFonts w:eastAsia="Arial Unicode MS"/>
          <w:color w:val="auto"/>
          <w:sz w:val="20"/>
          <w:szCs w:val="20"/>
          <w:lang w:eastAsia="it-IT"/>
        </w:rPr>
        <w:t xml:space="preserve">Per iscriversi al Master, </w:t>
      </w:r>
      <w:r w:rsidR="000112D8" w:rsidRPr="00C21C24">
        <w:rPr>
          <w:rFonts w:eastAsia="Arial Unicode MS"/>
          <w:color w:val="auto"/>
          <w:sz w:val="20"/>
          <w:szCs w:val="20"/>
          <w:u w:val="single"/>
          <w:lang w:eastAsia="it-IT"/>
        </w:rPr>
        <w:t>per disposizioni normative, occorre sottoscrivere l’intero pacchetto</w:t>
      </w:r>
      <w:r w:rsidRPr="00C21C24">
        <w:rPr>
          <w:rFonts w:eastAsia="Arial Unicode MS"/>
          <w:color w:val="auto"/>
          <w:sz w:val="20"/>
          <w:szCs w:val="20"/>
          <w:u w:val="single"/>
          <w:lang w:eastAsia="it-IT"/>
        </w:rPr>
        <w:t xml:space="preserve"> e non più le singole giornate</w:t>
      </w:r>
      <w:r>
        <w:rPr>
          <w:rFonts w:eastAsia="Arial Unicode MS"/>
          <w:color w:val="auto"/>
          <w:sz w:val="20"/>
          <w:szCs w:val="20"/>
          <w:lang w:eastAsia="it-IT"/>
        </w:rPr>
        <w:t xml:space="preserve">, </w:t>
      </w:r>
      <w:r w:rsidR="000112D8" w:rsidRPr="000112D8">
        <w:rPr>
          <w:rFonts w:eastAsia="Arial Unicode MS"/>
          <w:color w:val="auto"/>
          <w:sz w:val="20"/>
          <w:szCs w:val="20"/>
          <w:lang w:eastAsia="it-IT"/>
        </w:rPr>
        <w:t>è necessario compilare la scheda di iscrizione allegata, effettuare il versamento della relativa quota di iscrizione ed inviarla, unitamente alla scheda stessa, al referente di UPI come indicato in copertina. Le quote partecipative sono indicate nella scheda di iscrizione in allegato.</w:t>
      </w:r>
    </w:p>
    <w:p w:rsidR="0054151C" w:rsidRDefault="0054151C" w:rsidP="00FB3896">
      <w:pPr>
        <w:tabs>
          <w:tab w:val="left" w:pos="567"/>
        </w:tabs>
        <w:jc w:val="both"/>
        <w:rPr>
          <w:rFonts w:eastAsiaTheme="minorHAnsi"/>
          <w:color w:val="C00000"/>
          <w:lang w:eastAsia="en-US"/>
        </w:rPr>
      </w:pPr>
    </w:p>
    <w:p w:rsidR="000112D8" w:rsidRDefault="000112D8" w:rsidP="00633BEF">
      <w:pPr>
        <w:tabs>
          <w:tab w:val="left" w:pos="567"/>
        </w:tabs>
        <w:ind w:left="142"/>
        <w:jc w:val="both"/>
        <w:rPr>
          <w:rFonts w:eastAsia="Arial Unicode MS"/>
          <w:b/>
          <w:color w:val="auto"/>
          <w:sz w:val="20"/>
          <w:szCs w:val="20"/>
          <w:lang w:eastAsia="it-IT"/>
        </w:rPr>
      </w:pPr>
      <w:r w:rsidRPr="000112D8">
        <w:rPr>
          <w:rFonts w:eastAsiaTheme="minorHAnsi"/>
          <w:color w:val="C00000"/>
          <w:lang w:eastAsia="en-US"/>
        </w:rPr>
        <w:lastRenderedPageBreak/>
        <w:t>Finalità:</w:t>
      </w:r>
    </w:p>
    <w:p w:rsidR="00633BEF" w:rsidRPr="00633BEF" w:rsidRDefault="00633BEF" w:rsidP="000112D8">
      <w:pPr>
        <w:ind w:left="142"/>
        <w:jc w:val="both"/>
        <w:rPr>
          <w:rFonts w:eastAsia="Arial Unicode MS"/>
          <w:b/>
          <w:color w:val="auto"/>
          <w:sz w:val="20"/>
          <w:szCs w:val="20"/>
          <w:lang w:eastAsia="it-IT"/>
        </w:rPr>
      </w:pPr>
    </w:p>
    <w:p w:rsidR="000112D8" w:rsidRPr="000112D8" w:rsidRDefault="000112D8" w:rsidP="000112D8">
      <w:pPr>
        <w:ind w:left="142"/>
        <w:jc w:val="both"/>
        <w:rPr>
          <w:rFonts w:eastAsia="Arial Unicode MS"/>
          <w:color w:val="auto"/>
          <w:sz w:val="20"/>
          <w:szCs w:val="20"/>
          <w:lang w:eastAsia="it-IT"/>
        </w:rPr>
      </w:pPr>
      <w:r w:rsidRPr="000112D8">
        <w:rPr>
          <w:rFonts w:eastAsia="Arial Unicode MS"/>
          <w:color w:val="auto"/>
          <w:sz w:val="20"/>
          <w:szCs w:val="20"/>
          <w:lang w:eastAsia="it-IT"/>
        </w:rPr>
        <w:t xml:space="preserve">La finalità è pertanto quella di consentire ai partecipanti </w:t>
      </w:r>
      <w:r w:rsidR="004A7B63">
        <w:rPr>
          <w:rFonts w:eastAsia="Arial Unicode MS"/>
          <w:color w:val="auto"/>
          <w:sz w:val="20"/>
          <w:szCs w:val="20"/>
          <w:lang w:eastAsia="it-IT"/>
        </w:rPr>
        <w:t>di maturare per l’annualità 2016</w:t>
      </w:r>
      <w:r w:rsidRPr="000112D8">
        <w:rPr>
          <w:rFonts w:eastAsia="Arial Unicode MS"/>
          <w:color w:val="auto"/>
          <w:sz w:val="20"/>
          <w:szCs w:val="20"/>
          <w:lang w:eastAsia="it-IT"/>
        </w:rPr>
        <w:t>, sia i CFP ordinari (per i Dottori Commercialisti ed Esperti Contabili), sia i CFP richiesti (a tutti i Revisori degli Enti Locali, Commercialisti e non) per l’iscrizione (o il mantenimento) all’Elenco dei Revisori degli Enti Locali tenuto presso il Ministero dell’Interno, da cui saranno estratti a sorte i Revisori secondo il nuovo sistema di individuazione.</w:t>
      </w:r>
    </w:p>
    <w:p w:rsidR="000112D8" w:rsidRPr="000112D8" w:rsidRDefault="000112D8" w:rsidP="000112D8">
      <w:pPr>
        <w:ind w:left="142"/>
        <w:jc w:val="both"/>
        <w:rPr>
          <w:rFonts w:eastAsia="Arial Unicode MS"/>
          <w:color w:val="auto"/>
          <w:sz w:val="20"/>
          <w:szCs w:val="20"/>
          <w:lang w:eastAsia="it-IT"/>
        </w:rPr>
      </w:pPr>
      <w:r w:rsidRPr="000112D8">
        <w:rPr>
          <w:rFonts w:eastAsia="Arial Unicode MS"/>
          <w:color w:val="auto"/>
          <w:sz w:val="20"/>
          <w:szCs w:val="20"/>
          <w:lang w:eastAsia="it-IT"/>
        </w:rPr>
        <w:t>I partecipanti potranno acquisire, nel corso delle giornate formative, la conoscenza e gli strumenti del sistema della finanza e della contabilità pubblica degli Enti Locali utili ad affrontare gli aspetti connessi ai principali adempimenti che i Revisori degli Enti Locali sono chiamati ad assolvere nello svolgimento dell’incarico.</w:t>
      </w:r>
    </w:p>
    <w:p w:rsidR="000112D8" w:rsidRPr="000112D8" w:rsidRDefault="000112D8" w:rsidP="000112D8">
      <w:pPr>
        <w:ind w:left="142"/>
        <w:jc w:val="both"/>
        <w:rPr>
          <w:rFonts w:eastAsia="Arial Unicode MS"/>
          <w:color w:val="auto"/>
          <w:sz w:val="20"/>
          <w:szCs w:val="20"/>
          <w:lang w:eastAsia="it-IT"/>
        </w:rPr>
      </w:pPr>
      <w:r w:rsidRPr="000112D8">
        <w:rPr>
          <w:rFonts w:eastAsia="Arial Unicode MS"/>
          <w:color w:val="auto"/>
          <w:sz w:val="20"/>
          <w:szCs w:val="20"/>
          <w:lang w:eastAsia="it-IT"/>
        </w:rPr>
        <w:t xml:space="preserve">Preme inoltre ricordare che per svolgere attività di revisore occorre </w:t>
      </w:r>
      <w:r w:rsidRPr="00C21C24">
        <w:rPr>
          <w:rFonts w:eastAsia="Arial Unicode MS"/>
          <w:color w:val="auto"/>
          <w:sz w:val="20"/>
          <w:szCs w:val="20"/>
          <w:u w:val="single"/>
          <w:lang w:eastAsia="it-IT"/>
        </w:rPr>
        <w:t>l’iscrizione da almeno due anni</w:t>
      </w:r>
      <w:r w:rsidRPr="000112D8">
        <w:rPr>
          <w:rFonts w:eastAsia="Arial Unicode MS"/>
          <w:color w:val="auto"/>
          <w:sz w:val="20"/>
          <w:szCs w:val="20"/>
          <w:lang w:eastAsia="it-IT"/>
        </w:rPr>
        <w:t xml:space="preserve"> presso l’Ordine dei Dottori Commercialisti e degli Esperti Contabili.</w:t>
      </w:r>
    </w:p>
    <w:p w:rsidR="000112D8" w:rsidRPr="000112D8" w:rsidRDefault="000112D8" w:rsidP="000112D8">
      <w:pPr>
        <w:spacing w:line="360" w:lineRule="auto"/>
        <w:ind w:right="-82"/>
        <w:jc w:val="both"/>
        <w:rPr>
          <w:rFonts w:eastAsia="Arial Unicode MS"/>
          <w:color w:val="auto"/>
          <w:sz w:val="20"/>
          <w:szCs w:val="20"/>
          <w:lang w:eastAsia="it-IT"/>
        </w:rPr>
      </w:pPr>
    </w:p>
    <w:p w:rsidR="000112D8" w:rsidRPr="000112D8" w:rsidRDefault="000112D8" w:rsidP="000112D8">
      <w:pPr>
        <w:tabs>
          <w:tab w:val="left" w:pos="567"/>
        </w:tabs>
        <w:ind w:left="142"/>
        <w:jc w:val="both"/>
        <w:rPr>
          <w:rFonts w:eastAsiaTheme="minorHAnsi"/>
          <w:b/>
          <w:color w:val="C00000"/>
          <w:lang w:eastAsia="en-US"/>
        </w:rPr>
      </w:pPr>
      <w:r w:rsidRPr="000112D8">
        <w:rPr>
          <w:rFonts w:eastAsiaTheme="minorHAnsi"/>
          <w:b/>
          <w:color w:val="C00000"/>
          <w:lang w:eastAsia="en-US"/>
        </w:rPr>
        <w:t>Test di verifica e Diploma di Master:</w:t>
      </w:r>
    </w:p>
    <w:p w:rsidR="000112D8" w:rsidRPr="000112D8" w:rsidRDefault="000112D8" w:rsidP="000112D8">
      <w:pPr>
        <w:ind w:left="142"/>
        <w:jc w:val="both"/>
        <w:rPr>
          <w:rFonts w:eastAsia="Arial Unicode MS"/>
          <w:color w:val="auto"/>
          <w:sz w:val="20"/>
          <w:szCs w:val="20"/>
          <w:lang w:eastAsia="it-IT"/>
        </w:rPr>
      </w:pPr>
      <w:r w:rsidRPr="000112D8">
        <w:rPr>
          <w:rFonts w:eastAsia="Arial Unicode MS"/>
          <w:color w:val="auto"/>
          <w:sz w:val="20"/>
          <w:szCs w:val="20"/>
          <w:lang w:eastAsia="it-IT"/>
        </w:rPr>
        <w:t xml:space="preserve">Al termine di ciascuna giornata formativa verrà sostenuto, da parte dei partecipanti, un </w:t>
      </w:r>
      <w:r w:rsidRPr="009F7FBF">
        <w:rPr>
          <w:rFonts w:eastAsia="Arial Unicode MS"/>
          <w:b/>
          <w:color w:val="auto"/>
          <w:sz w:val="20"/>
          <w:szCs w:val="20"/>
          <w:lang w:eastAsia="it-IT"/>
        </w:rPr>
        <w:t>TEST DI VERIFICA</w:t>
      </w:r>
      <w:r w:rsidRPr="000112D8">
        <w:rPr>
          <w:rFonts w:eastAsia="Arial Unicode MS"/>
          <w:color w:val="auto"/>
          <w:sz w:val="20"/>
          <w:szCs w:val="20"/>
          <w:lang w:eastAsia="it-IT"/>
        </w:rPr>
        <w:t xml:space="preserve">  (articolato con n. 5 domande a risposta multipla), secondo le modalità stabilite dal Ministero dell’Interno. Il superamento di ciascun test sarà considerato valido con la risposta positiva di almeno il 75% dei quesiti posti (4 domande esatte su 5).</w:t>
      </w:r>
    </w:p>
    <w:p w:rsidR="000112D8" w:rsidRPr="000112D8" w:rsidRDefault="000112D8" w:rsidP="000112D8">
      <w:pPr>
        <w:ind w:left="142"/>
        <w:jc w:val="both"/>
        <w:rPr>
          <w:rFonts w:eastAsia="Arial Unicode MS"/>
          <w:color w:val="auto"/>
          <w:sz w:val="20"/>
          <w:szCs w:val="20"/>
          <w:lang w:eastAsia="it-IT"/>
        </w:rPr>
      </w:pPr>
      <w:r w:rsidRPr="000112D8">
        <w:rPr>
          <w:rFonts w:eastAsia="Arial Unicode MS"/>
          <w:color w:val="auto"/>
          <w:sz w:val="20"/>
          <w:szCs w:val="20"/>
          <w:lang w:eastAsia="it-IT"/>
        </w:rPr>
        <w:t xml:space="preserve">Al termine dell’intero percorso formativo verrà rilasciato il </w:t>
      </w:r>
      <w:r w:rsidRPr="009F7FBF">
        <w:rPr>
          <w:rFonts w:eastAsia="Arial Unicode MS"/>
          <w:b/>
          <w:color w:val="auto"/>
          <w:sz w:val="20"/>
          <w:szCs w:val="20"/>
          <w:lang w:eastAsia="it-IT"/>
        </w:rPr>
        <w:t>DIPLOMA DI MASTER.</w:t>
      </w:r>
    </w:p>
    <w:p w:rsidR="000112D8" w:rsidRDefault="000112D8" w:rsidP="00EA2BCA">
      <w:pPr>
        <w:tabs>
          <w:tab w:val="left" w:pos="567"/>
        </w:tabs>
        <w:rPr>
          <w:rFonts w:eastAsiaTheme="minorHAnsi"/>
          <w:b/>
          <w:color w:val="C00000"/>
          <w:sz w:val="28"/>
          <w:szCs w:val="28"/>
          <w:lang w:eastAsia="en-US"/>
        </w:rPr>
      </w:pPr>
    </w:p>
    <w:p w:rsidR="000112D8" w:rsidRPr="00766500" w:rsidRDefault="000112D8" w:rsidP="00F71368">
      <w:pPr>
        <w:spacing w:after="200" w:line="276" w:lineRule="auto"/>
        <w:jc w:val="center"/>
        <w:rPr>
          <w:rFonts w:eastAsiaTheme="minorHAnsi"/>
          <w:b/>
          <w:color w:val="C00000"/>
          <w:sz w:val="28"/>
          <w:szCs w:val="28"/>
          <w:lang w:eastAsia="en-US"/>
        </w:rPr>
      </w:pPr>
      <w:r w:rsidRPr="00766500">
        <w:rPr>
          <w:rFonts w:eastAsiaTheme="minorHAnsi"/>
          <w:b/>
          <w:color w:val="C00000"/>
          <w:sz w:val="28"/>
          <w:szCs w:val="28"/>
          <w:lang w:eastAsia="en-US"/>
        </w:rPr>
        <w:t>SEDE</w:t>
      </w:r>
    </w:p>
    <w:p w:rsidR="00FB3896" w:rsidRPr="009F7FBF" w:rsidRDefault="009F7FBF" w:rsidP="00EA2BCA">
      <w:pPr>
        <w:jc w:val="center"/>
        <w:rPr>
          <w:rFonts w:eastAsia="Arial Unicode MS"/>
          <w:b/>
          <w:bCs/>
          <w:i/>
          <w:iCs/>
          <w:color w:val="auto"/>
          <w:sz w:val="28"/>
          <w:szCs w:val="28"/>
        </w:rPr>
      </w:pPr>
      <w:r w:rsidRPr="009F7FBF">
        <w:rPr>
          <w:rFonts w:eastAsia="Arial Unicode MS"/>
          <w:b/>
          <w:bCs/>
          <w:i/>
          <w:iCs/>
          <w:color w:val="auto"/>
          <w:sz w:val="28"/>
          <w:szCs w:val="28"/>
        </w:rPr>
        <w:t>Modena</w:t>
      </w:r>
    </w:p>
    <w:p w:rsidR="009F7FBF" w:rsidRPr="009F7FBF" w:rsidRDefault="009F7FBF" w:rsidP="00EA2BCA">
      <w:pPr>
        <w:jc w:val="center"/>
        <w:rPr>
          <w:rFonts w:eastAsia="Arial Unicode MS"/>
          <w:b/>
          <w:bCs/>
          <w:i/>
          <w:iCs/>
          <w:color w:val="auto"/>
        </w:rPr>
      </w:pPr>
      <w:r w:rsidRPr="009F7FBF">
        <w:rPr>
          <w:rFonts w:eastAsia="Arial Unicode MS"/>
          <w:b/>
          <w:bCs/>
          <w:i/>
          <w:iCs/>
          <w:color w:val="auto"/>
        </w:rPr>
        <w:t>Sede della Provincia, Viale Martiri della Libertà</w:t>
      </w:r>
    </w:p>
    <w:p w:rsidR="009F7FBF" w:rsidRPr="009F7FBF" w:rsidRDefault="009F7FBF" w:rsidP="00EA2BCA">
      <w:pPr>
        <w:jc w:val="center"/>
        <w:rPr>
          <w:rFonts w:eastAsia="Arial Unicode MS"/>
          <w:bCs/>
          <w:i/>
          <w:iCs/>
          <w:color w:val="auto"/>
        </w:rPr>
      </w:pPr>
      <w:r w:rsidRPr="009F7FBF">
        <w:rPr>
          <w:rFonts w:eastAsia="Arial Unicode MS"/>
          <w:b/>
          <w:bCs/>
          <w:i/>
          <w:iCs/>
          <w:color w:val="auto"/>
        </w:rPr>
        <w:t xml:space="preserve">Sala Consiglio </w:t>
      </w:r>
    </w:p>
    <w:p w:rsidR="00EA2BCA" w:rsidRPr="0054151C" w:rsidRDefault="00EA2BCA" w:rsidP="00EA2BCA">
      <w:pPr>
        <w:jc w:val="center"/>
        <w:rPr>
          <w:rFonts w:eastAsia="Arial Unicode MS"/>
          <w:bCs/>
          <w:i/>
          <w:iCs/>
          <w:sz w:val="16"/>
          <w:szCs w:val="16"/>
        </w:rPr>
      </w:pPr>
    </w:p>
    <w:p w:rsidR="00EA2BCA" w:rsidRPr="0054151C" w:rsidRDefault="00EA2BCA" w:rsidP="00EA2BCA">
      <w:pPr>
        <w:jc w:val="center"/>
        <w:rPr>
          <w:rFonts w:eastAsiaTheme="minorHAnsi"/>
          <w:i/>
          <w:color w:val="0070C0"/>
          <w:sz w:val="16"/>
          <w:szCs w:val="16"/>
          <w:lang w:eastAsia="en-US"/>
        </w:rPr>
      </w:pPr>
    </w:p>
    <w:p w:rsidR="00EA2BCA" w:rsidRPr="009F7FBF" w:rsidRDefault="00EA2BCA" w:rsidP="00766500">
      <w:pPr>
        <w:jc w:val="center"/>
        <w:rPr>
          <w:rFonts w:eastAsia="Arial Unicode MS"/>
          <w:b/>
          <w:bCs/>
          <w:iCs/>
          <w:color w:val="auto"/>
        </w:rPr>
      </w:pPr>
      <w:r w:rsidRPr="009F7FBF">
        <w:rPr>
          <w:rFonts w:eastAsia="Arial Unicode MS"/>
          <w:b/>
          <w:bCs/>
          <w:iCs/>
          <w:color w:val="auto"/>
        </w:rPr>
        <w:t xml:space="preserve">Nella giornata di apertura del Master, alle ore 9.30, </w:t>
      </w:r>
    </w:p>
    <w:p w:rsidR="00EA2BCA" w:rsidRPr="009F7FBF" w:rsidRDefault="00EA2BCA" w:rsidP="00766500">
      <w:pPr>
        <w:jc w:val="center"/>
        <w:rPr>
          <w:rFonts w:eastAsia="Arial Unicode MS"/>
          <w:b/>
          <w:bCs/>
          <w:iCs/>
          <w:color w:val="auto"/>
        </w:rPr>
      </w:pPr>
      <w:r w:rsidRPr="009F7FBF">
        <w:rPr>
          <w:rFonts w:eastAsia="Arial Unicode MS"/>
          <w:b/>
          <w:bCs/>
          <w:iCs/>
          <w:color w:val="auto"/>
        </w:rPr>
        <w:t>interverranno, per un saluto di benvenuto:</w:t>
      </w:r>
    </w:p>
    <w:p w:rsidR="009F7FBF" w:rsidRPr="009F7FBF" w:rsidRDefault="009F7FBF" w:rsidP="009F7FBF">
      <w:pPr>
        <w:tabs>
          <w:tab w:val="left" w:pos="6840"/>
        </w:tabs>
        <w:ind w:right="-28"/>
        <w:jc w:val="center"/>
        <w:rPr>
          <w:rFonts w:eastAsia="Arial Unicode MS"/>
          <w:b/>
          <w:bCs/>
          <w:i/>
          <w:iCs/>
          <w:color w:val="auto"/>
          <w:sz w:val="28"/>
          <w:szCs w:val="28"/>
          <w:lang w:eastAsia="it-IT"/>
        </w:rPr>
      </w:pPr>
    </w:p>
    <w:p w:rsidR="00FF0577" w:rsidRPr="00FF0577" w:rsidRDefault="00FF0577" w:rsidP="00FF0577">
      <w:pPr>
        <w:tabs>
          <w:tab w:val="left" w:pos="6840"/>
        </w:tabs>
        <w:ind w:right="-28"/>
        <w:jc w:val="center"/>
        <w:rPr>
          <w:rFonts w:eastAsia="Arial Unicode MS"/>
          <w:b/>
          <w:bCs/>
          <w:i/>
          <w:iCs/>
          <w:color w:val="auto"/>
          <w:sz w:val="28"/>
          <w:szCs w:val="28"/>
          <w:lang w:eastAsia="it-IT"/>
        </w:rPr>
      </w:pPr>
    </w:p>
    <w:p w:rsidR="00FF0577" w:rsidRDefault="00FF0577" w:rsidP="00FF0577">
      <w:pPr>
        <w:tabs>
          <w:tab w:val="left" w:pos="6840"/>
        </w:tabs>
        <w:ind w:right="-28"/>
        <w:jc w:val="center"/>
        <w:rPr>
          <w:rFonts w:eastAsia="Arial Unicode MS"/>
          <w:b/>
          <w:bCs/>
          <w:i/>
          <w:iCs/>
          <w:color w:val="auto"/>
          <w:sz w:val="28"/>
          <w:szCs w:val="28"/>
          <w:lang w:eastAsia="it-IT"/>
        </w:rPr>
      </w:pPr>
      <w:r w:rsidRPr="00FF0577">
        <w:rPr>
          <w:rFonts w:eastAsia="Arial Unicode MS"/>
          <w:b/>
          <w:bCs/>
          <w:i/>
          <w:iCs/>
          <w:color w:val="auto"/>
          <w:sz w:val="28"/>
          <w:szCs w:val="28"/>
          <w:lang w:eastAsia="it-IT"/>
        </w:rPr>
        <w:t>Maria Patrizia PABA</w:t>
      </w:r>
    </w:p>
    <w:p w:rsidR="009F7FBF" w:rsidRPr="009F7FBF" w:rsidRDefault="009F7FBF" w:rsidP="00FF0577">
      <w:pPr>
        <w:tabs>
          <w:tab w:val="left" w:pos="6840"/>
        </w:tabs>
        <w:ind w:right="-28"/>
        <w:jc w:val="center"/>
        <w:rPr>
          <w:rFonts w:eastAsia="Arial Unicode MS"/>
          <w:bCs/>
          <w:i/>
          <w:iCs/>
          <w:color w:val="auto"/>
          <w:sz w:val="22"/>
          <w:szCs w:val="22"/>
          <w:lang w:eastAsia="it-IT"/>
        </w:rPr>
      </w:pPr>
      <w:r w:rsidRPr="009F7FBF">
        <w:rPr>
          <w:rFonts w:eastAsia="Arial Unicode MS"/>
          <w:bCs/>
          <w:i/>
          <w:iCs/>
          <w:color w:val="auto"/>
          <w:sz w:val="22"/>
          <w:szCs w:val="22"/>
          <w:lang w:eastAsia="it-IT"/>
        </w:rPr>
        <w:t>Prefetto di Modena</w:t>
      </w:r>
    </w:p>
    <w:p w:rsidR="009F7FBF" w:rsidRPr="009F7FBF" w:rsidRDefault="009F7FBF" w:rsidP="009F7FBF">
      <w:pPr>
        <w:ind w:right="-28"/>
        <w:jc w:val="center"/>
        <w:rPr>
          <w:rFonts w:eastAsia="Arial Unicode MS"/>
          <w:b/>
          <w:i/>
          <w:color w:val="auto"/>
          <w:sz w:val="28"/>
          <w:szCs w:val="28"/>
          <w:lang w:eastAsia="it-IT"/>
        </w:rPr>
      </w:pPr>
    </w:p>
    <w:p w:rsidR="009F7FBF" w:rsidRPr="009F7FBF" w:rsidRDefault="00E07B70" w:rsidP="009F7FBF">
      <w:pPr>
        <w:tabs>
          <w:tab w:val="left" w:pos="6840"/>
        </w:tabs>
        <w:ind w:right="-28"/>
        <w:jc w:val="center"/>
        <w:rPr>
          <w:rFonts w:eastAsia="Arial Unicode MS"/>
          <w:b/>
          <w:bCs/>
          <w:i/>
          <w:iCs/>
          <w:color w:val="auto"/>
          <w:sz w:val="28"/>
          <w:szCs w:val="28"/>
          <w:lang w:eastAsia="it-IT"/>
        </w:rPr>
      </w:pPr>
      <w:r>
        <w:rPr>
          <w:rFonts w:eastAsia="Arial Unicode MS"/>
          <w:b/>
          <w:bCs/>
          <w:i/>
          <w:iCs/>
          <w:color w:val="auto"/>
          <w:sz w:val="28"/>
          <w:szCs w:val="28"/>
          <w:lang w:eastAsia="it-IT"/>
        </w:rPr>
        <w:t>Maria Costi</w:t>
      </w:r>
    </w:p>
    <w:p w:rsidR="009F7FBF" w:rsidRPr="009F7FBF" w:rsidRDefault="00E07B70" w:rsidP="009F7FBF">
      <w:pPr>
        <w:tabs>
          <w:tab w:val="left" w:pos="6840"/>
        </w:tabs>
        <w:ind w:right="-28"/>
        <w:jc w:val="center"/>
        <w:rPr>
          <w:rFonts w:eastAsia="Arial Unicode MS"/>
          <w:bCs/>
          <w:i/>
          <w:iCs/>
          <w:color w:val="auto"/>
          <w:sz w:val="22"/>
          <w:szCs w:val="22"/>
          <w:lang w:eastAsia="it-IT"/>
        </w:rPr>
      </w:pPr>
      <w:r>
        <w:rPr>
          <w:rFonts w:eastAsia="Arial Unicode MS"/>
          <w:bCs/>
          <w:i/>
          <w:iCs/>
          <w:color w:val="auto"/>
          <w:sz w:val="22"/>
          <w:szCs w:val="22"/>
          <w:lang w:eastAsia="it-IT"/>
        </w:rPr>
        <w:t xml:space="preserve">Vice </w:t>
      </w:r>
      <w:r w:rsidR="009F7FBF" w:rsidRPr="009F7FBF">
        <w:rPr>
          <w:rFonts w:eastAsia="Arial Unicode MS"/>
          <w:bCs/>
          <w:i/>
          <w:iCs/>
          <w:color w:val="auto"/>
          <w:sz w:val="22"/>
          <w:szCs w:val="22"/>
          <w:lang w:eastAsia="it-IT"/>
        </w:rPr>
        <w:t>Presidente della Provincia di Modena</w:t>
      </w:r>
    </w:p>
    <w:p w:rsidR="009F7FBF" w:rsidRPr="009F7FBF" w:rsidRDefault="009F7FBF" w:rsidP="009F7FBF">
      <w:pPr>
        <w:ind w:right="-28"/>
        <w:jc w:val="center"/>
        <w:rPr>
          <w:rFonts w:eastAsia="Arial Unicode MS"/>
          <w:i/>
          <w:color w:val="auto"/>
          <w:sz w:val="28"/>
          <w:szCs w:val="28"/>
          <w:lang w:eastAsia="it-IT"/>
        </w:rPr>
      </w:pPr>
    </w:p>
    <w:p w:rsidR="00FF0577" w:rsidRDefault="00FF0577" w:rsidP="009F7FBF">
      <w:pPr>
        <w:tabs>
          <w:tab w:val="left" w:pos="6840"/>
        </w:tabs>
        <w:ind w:right="-28"/>
        <w:jc w:val="center"/>
        <w:rPr>
          <w:rFonts w:eastAsia="Arial Unicode MS"/>
          <w:b/>
          <w:bCs/>
          <w:i/>
          <w:iCs/>
          <w:color w:val="auto"/>
          <w:sz w:val="28"/>
          <w:szCs w:val="28"/>
          <w:lang w:eastAsia="it-IT"/>
        </w:rPr>
      </w:pPr>
      <w:r w:rsidRPr="00FF0577">
        <w:rPr>
          <w:rFonts w:eastAsia="Arial Unicode MS"/>
          <w:b/>
          <w:bCs/>
          <w:i/>
          <w:iCs/>
          <w:color w:val="auto"/>
          <w:sz w:val="28"/>
          <w:szCs w:val="28"/>
          <w:lang w:eastAsia="it-IT"/>
        </w:rPr>
        <w:t>Stefano Zanardi</w:t>
      </w:r>
    </w:p>
    <w:p w:rsidR="009F7FBF" w:rsidRDefault="009F7FBF" w:rsidP="009F7FBF">
      <w:pPr>
        <w:tabs>
          <w:tab w:val="left" w:pos="6840"/>
        </w:tabs>
        <w:ind w:right="-28"/>
        <w:jc w:val="center"/>
        <w:rPr>
          <w:rFonts w:eastAsia="Arial Unicode MS"/>
          <w:bCs/>
          <w:i/>
          <w:iCs/>
          <w:color w:val="auto"/>
          <w:sz w:val="22"/>
          <w:szCs w:val="22"/>
          <w:lang w:eastAsia="it-IT"/>
        </w:rPr>
      </w:pPr>
      <w:r w:rsidRPr="009F7FBF">
        <w:rPr>
          <w:rFonts w:eastAsia="Arial Unicode MS"/>
          <w:bCs/>
          <w:i/>
          <w:iCs/>
          <w:color w:val="auto"/>
          <w:sz w:val="22"/>
          <w:szCs w:val="22"/>
          <w:lang w:eastAsia="it-IT"/>
        </w:rPr>
        <w:t>Presidente Ordine dei Dottori Commercialisti e degli Esperti Contabili di  Modena</w:t>
      </w:r>
    </w:p>
    <w:p w:rsidR="00E07B70" w:rsidRDefault="00E07B70" w:rsidP="009F7FBF">
      <w:pPr>
        <w:tabs>
          <w:tab w:val="left" w:pos="6840"/>
        </w:tabs>
        <w:ind w:right="-28"/>
        <w:jc w:val="center"/>
        <w:rPr>
          <w:rFonts w:eastAsia="Arial Unicode MS"/>
          <w:bCs/>
          <w:i/>
          <w:iCs/>
          <w:color w:val="auto"/>
          <w:sz w:val="22"/>
          <w:szCs w:val="22"/>
          <w:lang w:eastAsia="it-IT"/>
        </w:rPr>
      </w:pPr>
    </w:p>
    <w:p w:rsidR="00E07B70" w:rsidRPr="00AC0DD1" w:rsidRDefault="00AC0DD1" w:rsidP="009F7FBF">
      <w:pPr>
        <w:tabs>
          <w:tab w:val="left" w:pos="6840"/>
        </w:tabs>
        <w:ind w:right="-28"/>
        <w:jc w:val="center"/>
        <w:rPr>
          <w:rFonts w:eastAsia="Arial Unicode MS"/>
          <w:bCs/>
          <w:i/>
          <w:iCs/>
          <w:color w:val="auto"/>
          <w:sz w:val="22"/>
          <w:szCs w:val="22"/>
          <w:u w:val="single"/>
          <w:lang w:eastAsia="it-IT"/>
        </w:rPr>
      </w:pPr>
      <w:r w:rsidRPr="00AC0DD1">
        <w:rPr>
          <w:rFonts w:eastAsia="Arial Unicode MS"/>
          <w:bCs/>
          <w:i/>
          <w:iCs/>
          <w:color w:val="auto"/>
          <w:sz w:val="22"/>
          <w:szCs w:val="22"/>
          <w:u w:val="single"/>
          <w:lang w:eastAsia="it-IT"/>
        </w:rPr>
        <w:t>In attesa di conferma dalle Autorità</w:t>
      </w:r>
    </w:p>
    <w:p w:rsidR="00BC7480" w:rsidRDefault="00BC7480" w:rsidP="00EA2BCA">
      <w:pPr>
        <w:spacing w:line="276" w:lineRule="auto"/>
        <w:jc w:val="center"/>
        <w:rPr>
          <w:rFonts w:eastAsiaTheme="minorHAnsi"/>
          <w:b/>
          <w:color w:val="1F497D" w:themeColor="text2"/>
          <w:sz w:val="40"/>
          <w:szCs w:val="40"/>
          <w:lang w:eastAsia="en-US"/>
        </w:rPr>
      </w:pPr>
    </w:p>
    <w:p w:rsidR="000112D8" w:rsidRDefault="00E62498" w:rsidP="00EA2BCA">
      <w:pPr>
        <w:spacing w:line="276" w:lineRule="auto"/>
        <w:jc w:val="center"/>
        <w:rPr>
          <w:rFonts w:eastAsiaTheme="minorHAnsi"/>
          <w:b/>
          <w:color w:val="1F497D" w:themeColor="text2"/>
          <w:sz w:val="40"/>
          <w:szCs w:val="40"/>
          <w:lang w:eastAsia="en-US"/>
        </w:rPr>
      </w:pPr>
      <w:r>
        <w:rPr>
          <w:rFonts w:eastAsiaTheme="minorHAnsi"/>
          <w:b/>
          <w:color w:val="1F497D" w:themeColor="text2"/>
          <w:sz w:val="40"/>
          <w:szCs w:val="40"/>
          <w:lang w:eastAsia="en-US"/>
        </w:rPr>
        <w:lastRenderedPageBreak/>
        <w:t>P</w:t>
      </w:r>
      <w:r w:rsidR="000112D8" w:rsidRPr="00E62498">
        <w:rPr>
          <w:rFonts w:eastAsiaTheme="minorHAnsi"/>
          <w:b/>
          <w:color w:val="1F497D" w:themeColor="text2"/>
          <w:sz w:val="40"/>
          <w:szCs w:val="40"/>
          <w:lang w:eastAsia="en-US"/>
        </w:rPr>
        <w:t>ROGRAMMA</w:t>
      </w:r>
    </w:p>
    <w:p w:rsidR="00EA2BCA" w:rsidRPr="00EA2BCA" w:rsidRDefault="00EA2BCA" w:rsidP="00EA2BCA">
      <w:pPr>
        <w:jc w:val="center"/>
        <w:rPr>
          <w:rFonts w:eastAsiaTheme="minorHAnsi"/>
          <w:b/>
          <w:color w:val="1F497D" w:themeColor="text2"/>
          <w:sz w:val="20"/>
          <w:szCs w:val="20"/>
          <w:u w:val="single"/>
          <w:lang w:eastAsia="en-US"/>
        </w:rPr>
      </w:pPr>
      <w:r>
        <w:rPr>
          <w:rFonts w:eastAsiaTheme="minorHAnsi"/>
          <w:b/>
          <w:color w:val="1F497D" w:themeColor="text2"/>
          <w:sz w:val="20"/>
          <w:szCs w:val="20"/>
          <w:u w:val="single"/>
          <w:lang w:eastAsia="en-US"/>
        </w:rPr>
        <w:t>(</w:t>
      </w:r>
      <w:r w:rsidRPr="005A24B2">
        <w:rPr>
          <w:rFonts w:eastAsiaTheme="minorHAnsi"/>
          <w:b/>
          <w:color w:val="1F497D" w:themeColor="text2"/>
          <w:sz w:val="20"/>
          <w:szCs w:val="20"/>
          <w:u w:val="single"/>
          <w:lang w:eastAsia="en-US"/>
        </w:rPr>
        <w:t>Ci si riserva, in tempo utile, di aggiornare il programma alle più recenti normative</w:t>
      </w:r>
      <w:r>
        <w:rPr>
          <w:rFonts w:eastAsiaTheme="minorHAnsi"/>
          <w:b/>
          <w:color w:val="1F497D" w:themeColor="text2"/>
          <w:sz w:val="20"/>
          <w:szCs w:val="20"/>
          <w:u w:val="single"/>
          <w:lang w:eastAsia="en-US"/>
        </w:rPr>
        <w:t>)</w:t>
      </w:r>
    </w:p>
    <w:p w:rsidR="00633BEF" w:rsidRDefault="00633BEF" w:rsidP="000112D8">
      <w:pPr>
        <w:pBdr>
          <w:bottom w:val="single" w:sz="4" w:space="1" w:color="999999"/>
        </w:pBdr>
        <w:ind w:right="-28"/>
        <w:rPr>
          <w:rFonts w:eastAsia="Arial Unicode MS"/>
          <w:b/>
          <w:bCs/>
          <w:color w:val="002060"/>
          <w:sz w:val="28"/>
          <w:szCs w:val="28"/>
          <w:lang w:eastAsia="it-IT"/>
        </w:rPr>
      </w:pPr>
    </w:p>
    <w:p w:rsidR="000112D8" w:rsidRPr="00703453" w:rsidRDefault="000112D8" w:rsidP="000112D8">
      <w:pPr>
        <w:pBdr>
          <w:bottom w:val="single" w:sz="4" w:space="1" w:color="999999"/>
        </w:pBdr>
        <w:ind w:right="-28"/>
        <w:rPr>
          <w:rFonts w:eastAsia="Arial Unicode MS"/>
          <w:b/>
          <w:bCs/>
          <w:color w:val="002060"/>
          <w:sz w:val="28"/>
          <w:szCs w:val="28"/>
          <w:lang w:eastAsia="it-IT"/>
        </w:rPr>
      </w:pPr>
      <w:r w:rsidRPr="00703453">
        <w:rPr>
          <w:rFonts w:eastAsia="Arial Unicode MS"/>
          <w:b/>
          <w:bCs/>
          <w:color w:val="002060"/>
          <w:sz w:val="28"/>
          <w:szCs w:val="28"/>
          <w:lang w:eastAsia="it-IT"/>
        </w:rPr>
        <w:t>LEZIONE 1</w:t>
      </w:r>
    </w:p>
    <w:p w:rsidR="000112D8" w:rsidRPr="000112D8" w:rsidRDefault="000112D8" w:rsidP="000112D8">
      <w:pPr>
        <w:ind w:right="-28"/>
        <w:rPr>
          <w:rFonts w:eastAsia="Arial Unicode MS"/>
          <w:bCs/>
          <w:color w:val="FF0000"/>
          <w:sz w:val="20"/>
          <w:szCs w:val="20"/>
          <w:lang w:eastAsia="it-IT"/>
        </w:rPr>
      </w:pPr>
    </w:p>
    <w:p w:rsidR="000112D8" w:rsidRPr="000112D8" w:rsidRDefault="000112D8" w:rsidP="000112D8">
      <w:pPr>
        <w:ind w:right="-28"/>
        <w:jc w:val="both"/>
        <w:rPr>
          <w:rFonts w:eastAsia="Batang"/>
          <w:b/>
          <w:color w:val="FF0000"/>
          <w:sz w:val="20"/>
          <w:szCs w:val="20"/>
          <w:lang w:eastAsia="it-IT"/>
        </w:rPr>
      </w:pPr>
    </w:p>
    <w:p w:rsidR="00BC7480" w:rsidRPr="00961CC1" w:rsidRDefault="00BC7480" w:rsidP="00BC7480">
      <w:pPr>
        <w:spacing w:after="60"/>
        <w:jc w:val="center"/>
        <w:outlineLvl w:val="0"/>
        <w:rPr>
          <w:rFonts w:eastAsia="Batang"/>
          <w:b/>
          <w:color w:val="FF0000"/>
          <w:sz w:val="28"/>
          <w:szCs w:val="28"/>
          <w:lang w:eastAsia="it-IT"/>
        </w:rPr>
      </w:pPr>
      <w:r w:rsidRPr="00961CC1">
        <w:rPr>
          <w:rFonts w:eastAsia="Batang"/>
          <w:b/>
          <w:color w:val="FF0000"/>
          <w:sz w:val="28"/>
          <w:szCs w:val="28"/>
          <w:lang w:eastAsia="it-IT"/>
        </w:rPr>
        <w:t>LE RESPONSABILITÀ DEI REVISORI DEGLI ENTI LOCALI, ALLA LUCE DELLE PRONUNCE DELLA GIURISPRUDENZA CONTABILE INTERVENUTE NEL CORSO DEL 2017</w:t>
      </w:r>
    </w:p>
    <w:p w:rsidR="00BC7480" w:rsidRPr="00961CC1" w:rsidRDefault="00BC7480" w:rsidP="00961CC1">
      <w:pPr>
        <w:spacing w:line="360" w:lineRule="auto"/>
        <w:ind w:left="720" w:right="-28"/>
        <w:jc w:val="center"/>
        <w:rPr>
          <w:rFonts w:eastAsia="Batang"/>
          <w:b/>
          <w:color w:val="FF0000"/>
          <w:sz w:val="28"/>
          <w:szCs w:val="28"/>
          <w:lang w:eastAsia="it-IT"/>
        </w:rPr>
      </w:pPr>
      <w:r w:rsidRPr="00961CC1">
        <w:rPr>
          <w:rFonts w:eastAsia="Batang"/>
          <w:b/>
          <w:color w:val="FF0000"/>
          <w:sz w:val="28"/>
          <w:szCs w:val="28"/>
          <w:lang w:eastAsia="it-IT"/>
        </w:rPr>
        <w:t>Livello avanzato</w:t>
      </w:r>
    </w:p>
    <w:p w:rsidR="00BC7480" w:rsidRPr="00A33AED" w:rsidRDefault="00BC7480" w:rsidP="00BC7480">
      <w:pPr>
        <w:spacing w:line="360" w:lineRule="auto"/>
        <w:ind w:left="720" w:right="-28"/>
        <w:jc w:val="both"/>
        <w:rPr>
          <w:rFonts w:eastAsia="Batang"/>
          <w:color w:val="auto"/>
          <w:sz w:val="20"/>
          <w:szCs w:val="20"/>
          <w:lang w:eastAsia="it-IT"/>
        </w:rPr>
      </w:pP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color w:val="auto"/>
          <w:lang w:eastAsia="it-IT"/>
        </w:rPr>
        <w:t>Brevissimi cenni sulle forme di responsabilità del revisore degli enti locali: responsabilità civile, disciplinare e penale. La revoca del revisore dei conti. La responsabilità dinanzi alla Corte dei conti.</w:t>
      </w: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b/>
          <w:color w:val="auto"/>
          <w:lang w:eastAsia="it-IT"/>
        </w:rPr>
        <w:t>Incarichi legali</w:t>
      </w:r>
      <w:r w:rsidRPr="00961CC1">
        <w:rPr>
          <w:rFonts w:eastAsia="Batang"/>
          <w:color w:val="auto"/>
          <w:lang w:eastAsia="it-IT"/>
        </w:rPr>
        <w:t>: presupposti, procedura, liste di accreditamento, valutazione del compenso, casi di legittimità dell’affidamento diretto, nella giurisprudenza della Corte dei conti e nelle linee guida dell’Anac. Il caso e le ragioni di diritto sottostanti la condanna del Sindaco di Roma.</w:t>
      </w: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b/>
          <w:color w:val="auto"/>
          <w:lang w:eastAsia="it-IT"/>
        </w:rPr>
        <w:t>Rimborso delle spese legali</w:t>
      </w:r>
      <w:r w:rsidRPr="00961CC1">
        <w:rPr>
          <w:rFonts w:eastAsia="Batang"/>
          <w:color w:val="auto"/>
          <w:lang w:eastAsia="it-IT"/>
        </w:rPr>
        <w:t>: i presupposti del rimborso; l’interpretazione della clausola di invarianza apposta in tema di rimborso delle spese legali degli amministratori; la valutazione di congruità nel rimborso delle spese legali.</w:t>
      </w: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b/>
          <w:color w:val="auto"/>
          <w:lang w:eastAsia="it-IT"/>
        </w:rPr>
        <w:t xml:space="preserve">I limiti posti, </w:t>
      </w:r>
      <w:r w:rsidRPr="00961CC1">
        <w:rPr>
          <w:rFonts w:eastAsia="Batang"/>
          <w:color w:val="auto"/>
          <w:lang w:eastAsia="it-IT"/>
        </w:rPr>
        <w:t>dal d.l. n. 50/2017,</w:t>
      </w:r>
      <w:r w:rsidRPr="00961CC1">
        <w:rPr>
          <w:rFonts w:eastAsia="Batang"/>
          <w:b/>
          <w:color w:val="auto"/>
          <w:lang w:eastAsia="it-IT"/>
        </w:rPr>
        <w:t xml:space="preserve"> ad alcuni dei vincoli di cui al d.l. 78/2010</w:t>
      </w:r>
      <w:r w:rsidRPr="00961CC1">
        <w:rPr>
          <w:rFonts w:eastAsia="Batang"/>
          <w:color w:val="auto"/>
          <w:lang w:eastAsia="it-IT"/>
        </w:rPr>
        <w:t>.</w:t>
      </w: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b/>
          <w:color w:val="auto"/>
          <w:lang w:eastAsia="it-IT"/>
        </w:rPr>
        <w:t>Le transazioni</w:t>
      </w:r>
      <w:r w:rsidRPr="00961CC1">
        <w:rPr>
          <w:rFonts w:eastAsia="Batang"/>
          <w:color w:val="auto"/>
          <w:lang w:eastAsia="it-IT"/>
        </w:rPr>
        <w:t>: presupposti della possibilità di stipulare transazioni. Il parere dell’Organo di revisione sulle proposte transattive non di competenza del consiglio e il parere dell’Avvocatura interna, ove presente. Il danno da mancata adesione a una proposta transattiva conveniente: la centralità della motivazione.</w:t>
      </w: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b/>
          <w:color w:val="auto"/>
          <w:lang w:eastAsia="it-IT"/>
        </w:rPr>
        <w:t>La responsabilità per elusione del principio del pareggio di bilancio e per provocato dissesto</w:t>
      </w:r>
      <w:r w:rsidRPr="00961CC1">
        <w:rPr>
          <w:rFonts w:eastAsia="Batang"/>
          <w:color w:val="auto"/>
          <w:lang w:eastAsia="it-IT"/>
        </w:rPr>
        <w:t>, alla luce del nuovo rito introdotto nel 2016 dal nuovo codice di giustizia contabile.</w:t>
      </w: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b/>
          <w:color w:val="auto"/>
          <w:lang w:eastAsia="it-IT"/>
        </w:rPr>
        <w:t>Pronunce intervenute nel 2016 sulla responsabilità dei revisori</w:t>
      </w:r>
      <w:r w:rsidRPr="00961CC1">
        <w:rPr>
          <w:rFonts w:eastAsia="Batang"/>
          <w:color w:val="auto"/>
          <w:lang w:eastAsia="it-IT"/>
        </w:rPr>
        <w:t>: l’inadempimento del revisore dei conti nell’invio del questionario SIQUEL, responsabilità per danno da provocato dissesto dell’ente locale, presupposti della revoca del revisore dei conti di una società controllata, violazione di un limite di cui al d.l. 78/2010 e posizione dei revisori.</w:t>
      </w:r>
    </w:p>
    <w:p w:rsidR="00BC7480" w:rsidRPr="00961CC1" w:rsidRDefault="00BC7480" w:rsidP="00BC7480">
      <w:pPr>
        <w:spacing w:line="360" w:lineRule="auto"/>
        <w:ind w:right="-28"/>
        <w:jc w:val="both"/>
        <w:rPr>
          <w:rFonts w:eastAsia="Batang"/>
          <w:color w:val="auto"/>
          <w:lang w:eastAsia="it-IT"/>
        </w:rPr>
      </w:pPr>
    </w:p>
    <w:p w:rsidR="00BC7480" w:rsidRPr="00961CC1" w:rsidRDefault="00BC7480" w:rsidP="00BC7480">
      <w:pPr>
        <w:pStyle w:val="Paragrafoelenco"/>
        <w:numPr>
          <w:ilvl w:val="0"/>
          <w:numId w:val="16"/>
        </w:numPr>
        <w:spacing w:line="360" w:lineRule="auto"/>
        <w:ind w:right="-28"/>
        <w:jc w:val="both"/>
        <w:rPr>
          <w:rFonts w:eastAsia="Batang"/>
          <w:color w:val="auto"/>
          <w:lang w:eastAsia="it-IT"/>
        </w:rPr>
      </w:pPr>
      <w:r w:rsidRPr="00961CC1">
        <w:rPr>
          <w:rFonts w:eastAsia="Batang"/>
          <w:b/>
          <w:color w:val="auto"/>
          <w:lang w:eastAsia="it-IT"/>
        </w:rPr>
        <w:t>Altre pronunce intervenute nel 2016</w:t>
      </w:r>
      <w:r w:rsidRPr="00961CC1">
        <w:rPr>
          <w:rFonts w:eastAsia="Batang"/>
          <w:color w:val="auto"/>
          <w:lang w:eastAsia="it-IT"/>
        </w:rPr>
        <w:t>: il controllo sulla causa generativa del debito fuori bilancio, il reato di falso in bilancio negli enti locali, le conseguenze della mancanza dei pareri di regolarità tecnica e contabile, le spese di rappresentanza (in particolare, per necrologi e gemellaggi), il limite minimo al compenso dei revisori, il ruolo dei revisori sul processo di razionalizzazione, il significato da attribuire alle clausole di invarianza finanziaria, gli albergatori quali agenti contabili, la posizione del TAR sulle dismissioni, gli incarichi conferiti agli amministratori, l’incarico professionale sterno dannoso, la sentenza di Appello sull’elusione del patto ad Alessandria, i limiti di spesa per l’incarico di portavoce e per l’addetto stampa.</w:t>
      </w:r>
    </w:p>
    <w:p w:rsidR="00BC7480" w:rsidRPr="00A33AED" w:rsidRDefault="00BC7480" w:rsidP="00BC7480">
      <w:pPr>
        <w:pStyle w:val="Paragrafoelenco"/>
        <w:rPr>
          <w:rFonts w:eastAsia="Batang"/>
          <w:color w:val="auto"/>
          <w:sz w:val="20"/>
          <w:szCs w:val="20"/>
          <w:lang w:eastAsia="it-IT"/>
        </w:rPr>
      </w:pPr>
    </w:p>
    <w:p w:rsidR="00BC7480" w:rsidRPr="00A33AED" w:rsidRDefault="00BC7480" w:rsidP="00BC7480">
      <w:pPr>
        <w:ind w:right="-28"/>
        <w:rPr>
          <w:rFonts w:eastAsia="Arial Unicode MS"/>
          <w:b/>
          <w:bCs/>
          <w:color w:val="0000FF"/>
          <w:lang w:eastAsia="it-IT"/>
        </w:rPr>
      </w:pPr>
      <w:r w:rsidRPr="00A33AED">
        <w:rPr>
          <w:rFonts w:eastAsia="Calibri"/>
          <w:b/>
          <w:bCs/>
          <w:i/>
          <w:iCs/>
          <w:color w:val="000000"/>
          <w:sz w:val="20"/>
          <w:szCs w:val="20"/>
          <w:lang w:eastAsia="it-IT"/>
        </w:rPr>
        <w:t xml:space="preserve">Docente: Dott. Riccardo Patumi </w:t>
      </w:r>
    </w:p>
    <w:p w:rsidR="00703453" w:rsidRDefault="00703453" w:rsidP="006D0E24">
      <w:pPr>
        <w:ind w:right="-28"/>
        <w:rPr>
          <w:rFonts w:eastAsia="Arial Unicode MS"/>
          <w:b/>
          <w:bCs/>
          <w:color w:val="002060"/>
          <w:sz w:val="28"/>
          <w:szCs w:val="28"/>
          <w:lang w:eastAsia="it-IT"/>
        </w:rPr>
      </w:pPr>
    </w:p>
    <w:p w:rsidR="00961CC1" w:rsidRDefault="00961CC1" w:rsidP="006D0E24">
      <w:pPr>
        <w:ind w:right="-28"/>
        <w:rPr>
          <w:rFonts w:eastAsia="Arial Unicode MS"/>
          <w:b/>
          <w:bCs/>
          <w:color w:val="002060"/>
          <w:sz w:val="28"/>
          <w:szCs w:val="28"/>
          <w:lang w:eastAsia="it-IT"/>
        </w:rPr>
      </w:pPr>
    </w:p>
    <w:p w:rsidR="00961CC1" w:rsidRDefault="00961CC1" w:rsidP="006D0E24">
      <w:pPr>
        <w:ind w:right="-28"/>
        <w:rPr>
          <w:rFonts w:eastAsia="Arial Unicode MS"/>
          <w:b/>
          <w:bCs/>
          <w:color w:val="002060"/>
          <w:sz w:val="28"/>
          <w:szCs w:val="28"/>
          <w:lang w:eastAsia="it-IT"/>
        </w:rPr>
      </w:pPr>
    </w:p>
    <w:p w:rsidR="00961CC1" w:rsidRDefault="00961CC1" w:rsidP="006D0E24">
      <w:pPr>
        <w:ind w:right="-28"/>
        <w:rPr>
          <w:rFonts w:eastAsia="Arial Unicode MS"/>
          <w:b/>
          <w:bCs/>
          <w:color w:val="002060"/>
          <w:sz w:val="28"/>
          <w:szCs w:val="28"/>
          <w:lang w:eastAsia="it-IT"/>
        </w:rPr>
      </w:pPr>
    </w:p>
    <w:p w:rsidR="00961CC1" w:rsidRDefault="00961CC1" w:rsidP="006D0E24">
      <w:pPr>
        <w:ind w:right="-28"/>
        <w:rPr>
          <w:rFonts w:eastAsia="Arial Unicode MS"/>
          <w:b/>
          <w:bCs/>
          <w:color w:val="002060"/>
          <w:sz w:val="28"/>
          <w:szCs w:val="28"/>
          <w:lang w:eastAsia="it-IT"/>
        </w:rPr>
      </w:pPr>
    </w:p>
    <w:p w:rsidR="00961CC1" w:rsidRPr="00A33AED" w:rsidRDefault="00961CC1" w:rsidP="006D0E24">
      <w:pPr>
        <w:ind w:right="-28"/>
        <w:rPr>
          <w:rFonts w:eastAsia="Arial Unicode MS"/>
          <w:b/>
          <w:bCs/>
          <w:color w:val="002060"/>
          <w:sz w:val="28"/>
          <w:szCs w:val="28"/>
          <w:lang w:eastAsia="it-IT"/>
        </w:rPr>
      </w:pPr>
    </w:p>
    <w:p w:rsidR="006D0E24" w:rsidRPr="00A33AED" w:rsidRDefault="006D0E24" w:rsidP="006D0E24">
      <w:pPr>
        <w:ind w:right="-28"/>
        <w:rPr>
          <w:rFonts w:eastAsia="Arial Unicode MS"/>
          <w:b/>
          <w:bCs/>
          <w:color w:val="002060"/>
          <w:sz w:val="28"/>
          <w:szCs w:val="28"/>
          <w:lang w:eastAsia="it-IT"/>
        </w:rPr>
      </w:pPr>
    </w:p>
    <w:p w:rsidR="000112D8" w:rsidRPr="00A33AED" w:rsidRDefault="000112D8" w:rsidP="000112D8">
      <w:pPr>
        <w:pBdr>
          <w:bottom w:val="single" w:sz="4" w:space="1" w:color="999999"/>
        </w:pBdr>
        <w:ind w:right="-28"/>
        <w:rPr>
          <w:rFonts w:eastAsia="Arial Unicode MS"/>
          <w:b/>
          <w:bCs/>
          <w:color w:val="002060"/>
          <w:sz w:val="28"/>
          <w:szCs w:val="28"/>
          <w:lang w:eastAsia="it-IT"/>
        </w:rPr>
      </w:pPr>
      <w:r w:rsidRPr="00A33AED">
        <w:rPr>
          <w:rFonts w:eastAsia="Arial Unicode MS"/>
          <w:b/>
          <w:bCs/>
          <w:color w:val="002060"/>
          <w:sz w:val="28"/>
          <w:szCs w:val="28"/>
          <w:lang w:eastAsia="it-IT"/>
        </w:rPr>
        <w:t>LEZIONE 2</w:t>
      </w:r>
    </w:p>
    <w:p w:rsidR="000112D8" w:rsidRPr="00A33AED" w:rsidRDefault="000112D8" w:rsidP="000112D8">
      <w:pPr>
        <w:ind w:right="-28"/>
        <w:rPr>
          <w:rFonts w:eastAsia="Arial Unicode MS"/>
          <w:b/>
          <w:bCs/>
          <w:i/>
          <w:iCs/>
          <w:color w:val="auto"/>
          <w:sz w:val="20"/>
          <w:szCs w:val="20"/>
          <w:lang w:eastAsia="it-IT"/>
        </w:rPr>
      </w:pPr>
    </w:p>
    <w:p w:rsidR="00F71368" w:rsidRPr="00A33AED" w:rsidRDefault="00F71368" w:rsidP="000112D8">
      <w:pPr>
        <w:ind w:right="-28"/>
        <w:rPr>
          <w:rFonts w:eastAsia="Arial Unicode MS"/>
          <w:b/>
          <w:bCs/>
          <w:i/>
          <w:iCs/>
          <w:color w:val="auto"/>
          <w:sz w:val="20"/>
          <w:szCs w:val="20"/>
          <w:lang w:eastAsia="it-IT"/>
        </w:rPr>
      </w:pPr>
    </w:p>
    <w:p w:rsidR="008E449F" w:rsidRPr="00961CC1" w:rsidRDefault="008E449F" w:rsidP="008E449F">
      <w:pPr>
        <w:spacing w:after="200" w:line="276" w:lineRule="auto"/>
        <w:jc w:val="center"/>
        <w:rPr>
          <w:rFonts w:eastAsiaTheme="minorHAnsi"/>
          <w:b/>
          <w:color w:val="FF0000"/>
          <w:sz w:val="28"/>
          <w:szCs w:val="28"/>
          <w:lang w:eastAsia="en-US"/>
        </w:rPr>
      </w:pPr>
      <w:r w:rsidRPr="00961CC1">
        <w:rPr>
          <w:rFonts w:eastAsiaTheme="minorHAnsi"/>
          <w:b/>
          <w:color w:val="FF0000"/>
          <w:sz w:val="28"/>
          <w:szCs w:val="28"/>
          <w:lang w:eastAsia="en-US"/>
        </w:rPr>
        <w:t>I CONTROLLI DELL’ORGANO DI REVISIONE</w:t>
      </w: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I controlli interni ed esterni. Inquadramento generale</w:t>
      </w:r>
    </w:p>
    <w:p w:rsidR="008E449F" w:rsidRPr="00961CC1" w:rsidRDefault="008E449F" w:rsidP="008E449F">
      <w:pPr>
        <w:numPr>
          <w:ilvl w:val="1"/>
          <w:numId w:val="11"/>
        </w:numPr>
        <w:tabs>
          <w:tab w:val="left" w:pos="864"/>
        </w:tabs>
        <w:contextualSpacing/>
        <w:jc w:val="both"/>
        <w:textAlignment w:val="baseline"/>
        <w:rPr>
          <w:rFonts w:eastAsia="Arial"/>
          <w:color w:val="000000"/>
          <w:lang w:eastAsia="en-US"/>
        </w:rPr>
      </w:pPr>
      <w:r w:rsidRPr="00961CC1">
        <w:rPr>
          <w:rFonts w:eastAsia="Arial"/>
          <w:color w:val="000000"/>
          <w:lang w:eastAsia="en-US"/>
        </w:rPr>
        <w:t xml:space="preserve">La Riforma dei Controlli introdotta dal D.L. 174/2012 </w:t>
      </w:r>
    </w:p>
    <w:p w:rsidR="008E449F" w:rsidRPr="00961CC1" w:rsidRDefault="008E449F" w:rsidP="008E449F">
      <w:pPr>
        <w:numPr>
          <w:ilvl w:val="1"/>
          <w:numId w:val="11"/>
        </w:numPr>
        <w:tabs>
          <w:tab w:val="left" w:pos="864"/>
        </w:tabs>
        <w:contextualSpacing/>
        <w:jc w:val="both"/>
        <w:textAlignment w:val="baseline"/>
        <w:rPr>
          <w:rFonts w:eastAsia="Arial"/>
          <w:color w:val="000000"/>
          <w:spacing w:val="-1"/>
          <w:lang w:eastAsia="en-US"/>
        </w:rPr>
      </w:pPr>
      <w:r w:rsidRPr="00961CC1">
        <w:rPr>
          <w:rFonts w:eastAsia="Arial"/>
          <w:color w:val="000000"/>
          <w:spacing w:val="-1"/>
          <w:lang w:eastAsia="en-US"/>
        </w:rPr>
        <w:t>Le tipologie di controllo</w:t>
      </w:r>
    </w:p>
    <w:p w:rsidR="008E449F" w:rsidRPr="00961CC1" w:rsidRDefault="008E449F" w:rsidP="008E449F">
      <w:pPr>
        <w:numPr>
          <w:ilvl w:val="1"/>
          <w:numId w:val="11"/>
        </w:numPr>
        <w:tabs>
          <w:tab w:val="left" w:pos="864"/>
        </w:tabs>
        <w:contextualSpacing/>
        <w:jc w:val="both"/>
        <w:textAlignment w:val="baseline"/>
        <w:rPr>
          <w:rFonts w:eastAsia="Arial"/>
          <w:color w:val="000000"/>
          <w:spacing w:val="-1"/>
          <w:lang w:eastAsia="en-US"/>
        </w:rPr>
      </w:pPr>
      <w:r w:rsidRPr="00961CC1">
        <w:rPr>
          <w:rFonts w:eastAsia="Arial"/>
          <w:color w:val="000000"/>
          <w:spacing w:val="-1"/>
          <w:lang w:eastAsia="en-US"/>
        </w:rPr>
        <w:t>I controlli interni ed esterni</w:t>
      </w:r>
    </w:p>
    <w:p w:rsidR="008E449F" w:rsidRPr="00961CC1" w:rsidRDefault="008E449F" w:rsidP="008E449F">
      <w:pPr>
        <w:numPr>
          <w:ilvl w:val="1"/>
          <w:numId w:val="11"/>
        </w:numPr>
        <w:tabs>
          <w:tab w:val="left" w:pos="864"/>
        </w:tabs>
        <w:contextualSpacing/>
        <w:jc w:val="both"/>
        <w:textAlignment w:val="baseline"/>
        <w:rPr>
          <w:rFonts w:eastAsia="Arial"/>
          <w:color w:val="000000"/>
          <w:lang w:eastAsia="en-US"/>
        </w:rPr>
      </w:pPr>
      <w:r w:rsidRPr="00961CC1">
        <w:rPr>
          <w:rFonts w:eastAsia="Arial"/>
          <w:color w:val="000000"/>
          <w:lang w:eastAsia="en-US"/>
        </w:rPr>
        <w:t>Il Controllo di regolarità amministrativa e contabile</w:t>
      </w:r>
    </w:p>
    <w:p w:rsidR="008E449F" w:rsidRPr="00961CC1" w:rsidRDefault="008E449F" w:rsidP="008E449F">
      <w:pPr>
        <w:numPr>
          <w:ilvl w:val="1"/>
          <w:numId w:val="11"/>
        </w:numPr>
        <w:tabs>
          <w:tab w:val="left" w:pos="864"/>
        </w:tabs>
        <w:contextualSpacing/>
        <w:jc w:val="both"/>
        <w:textAlignment w:val="baseline"/>
        <w:rPr>
          <w:rFonts w:eastAsia="Arial"/>
          <w:color w:val="000000"/>
          <w:spacing w:val="-1"/>
          <w:lang w:eastAsia="en-US"/>
        </w:rPr>
      </w:pPr>
      <w:r w:rsidRPr="00961CC1">
        <w:rPr>
          <w:rFonts w:eastAsia="Arial"/>
          <w:color w:val="000000"/>
          <w:spacing w:val="-1"/>
          <w:lang w:eastAsia="en-US"/>
        </w:rPr>
        <w:t>Il Controllo sugli equilibri finanziari</w:t>
      </w:r>
    </w:p>
    <w:p w:rsidR="008E449F" w:rsidRPr="00961CC1" w:rsidRDefault="008E449F" w:rsidP="008E449F">
      <w:pPr>
        <w:numPr>
          <w:ilvl w:val="1"/>
          <w:numId w:val="11"/>
        </w:numPr>
        <w:tabs>
          <w:tab w:val="left" w:pos="864"/>
        </w:tabs>
        <w:contextualSpacing/>
        <w:jc w:val="both"/>
        <w:textAlignment w:val="baseline"/>
        <w:rPr>
          <w:rFonts w:eastAsia="Arial"/>
          <w:color w:val="000000"/>
          <w:lang w:eastAsia="en-US"/>
        </w:rPr>
      </w:pPr>
      <w:r w:rsidRPr="00961CC1">
        <w:rPr>
          <w:rFonts w:eastAsia="Arial"/>
          <w:color w:val="000000"/>
          <w:lang w:eastAsia="en-US"/>
        </w:rPr>
        <w:t>Il Controllo sulle società partecipate non quotate ed il Controllo strategico</w:t>
      </w:r>
    </w:p>
    <w:p w:rsidR="008E449F" w:rsidRPr="00961CC1" w:rsidRDefault="008E449F" w:rsidP="008E449F">
      <w:pPr>
        <w:numPr>
          <w:ilvl w:val="1"/>
          <w:numId w:val="11"/>
        </w:numPr>
        <w:contextualSpacing/>
        <w:jc w:val="both"/>
        <w:textAlignment w:val="baseline"/>
        <w:rPr>
          <w:rFonts w:eastAsia="Arial"/>
          <w:color w:val="000000"/>
          <w:lang w:eastAsia="en-US"/>
        </w:rPr>
      </w:pPr>
      <w:r w:rsidRPr="00961CC1">
        <w:rPr>
          <w:rFonts w:eastAsia="Arial"/>
          <w:color w:val="000000"/>
          <w:lang w:eastAsia="en-US"/>
        </w:rPr>
        <w:t>Il Controllo di Gestione</w:t>
      </w: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Le intersecazioni dei controlli dei revisori con le altre tipologie di controllo interno</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intersecazioni dei controlli dei revisori:</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con il controllo successivo di regolarità amministrativa e contabile</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Con la L. 190/2012 in materia di “Anticorruzione”</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Con il controllo interno sugli equilibri</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Con il controllo sugli organismi partecipati</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Gli organi coinvolti nella verifica:</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Sindaco</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Nucleo di valutazione o Organismi indipendenti di valutazione</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Giunta</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Consiglio comunale</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 xml:space="preserve"> La regolamentazione del sistema di programmazione, controllo e valutazione</w:t>
      </w: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La verifica dell’organo di revisione sui singoli vincoli di finanza pubblica dopo la legge n. 243/2012 e la legge di stabilita’ 2016</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L’equilibrio di bilancio, il patto di stabilita’ e il divieto di indebitamento .Le novita’ della Legge n. 243/2012 per gli Enti territoriali. Il superamento del patto di stabilita’ nella nuova legge 2016</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la verifica dell’organo di revisione sull’equilibrio di bilancio</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 xml:space="preserve">La disciplina del pareggio nel disegno di legge di stabilità 2016: i soggetti obbligati, la rendicontazione, le sanzioni. Il prospetto allegato al bilancio di previsione rappresentativo dell’equilibrio di competenza. </w:t>
      </w: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Il D.Lgs. n. 118/2011 e i rischi di elusione del pareggio</w:t>
      </w:r>
      <w:r w:rsidRPr="00961CC1">
        <w:rPr>
          <w:rFonts w:eastAsiaTheme="minorHAnsi"/>
          <w:b/>
          <w:color w:val="auto"/>
          <w:lang w:eastAsia="en-US"/>
        </w:rPr>
        <w:tab/>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Novità del sistema contabile armonizzato  e nuove possibili ipotesi di elusione al pareggio di bilancio</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Il ruolo del Fondo crediti di dubbia esigibilità e degli altri accantonamenti nel pareggio di bilancio; la possibilità di utilizzo del risultato di amministrazione.</w:t>
      </w:r>
    </w:p>
    <w:p w:rsidR="008E449F" w:rsidRPr="00961CC1" w:rsidRDefault="008E449F" w:rsidP="008E449F">
      <w:pPr>
        <w:numPr>
          <w:ilvl w:val="1"/>
          <w:numId w:val="11"/>
        </w:numPr>
        <w:ind w:hanging="357"/>
        <w:jc w:val="both"/>
        <w:textAlignment w:val="baseline"/>
        <w:rPr>
          <w:rFonts w:eastAsiaTheme="minorHAnsi"/>
          <w:color w:val="auto"/>
          <w:lang w:eastAsia="en-US"/>
        </w:rPr>
      </w:pPr>
      <w:r w:rsidRPr="00961CC1">
        <w:rPr>
          <w:rFonts w:eastAsia="Arial"/>
          <w:color w:val="000000"/>
          <w:lang w:eastAsia="en-US"/>
        </w:rPr>
        <w:t>Il saldo unico di competenza finanziaria potenziata e risorse per gli investimenti.</w:t>
      </w:r>
      <w:r w:rsidRPr="00961CC1">
        <w:rPr>
          <w:rFonts w:eastAsiaTheme="minorHAnsi"/>
          <w:i/>
          <w:iCs/>
          <w:color w:val="333333"/>
          <w:lang w:eastAsia="en-US"/>
        </w:rPr>
        <w:t> </w:t>
      </w:r>
    </w:p>
    <w:p w:rsidR="006D0E24" w:rsidRPr="00961CC1" w:rsidRDefault="008E449F" w:rsidP="006D0E24">
      <w:pPr>
        <w:numPr>
          <w:ilvl w:val="1"/>
          <w:numId w:val="11"/>
        </w:numPr>
        <w:ind w:hanging="357"/>
        <w:jc w:val="both"/>
        <w:textAlignment w:val="baseline"/>
        <w:rPr>
          <w:rFonts w:eastAsiaTheme="minorHAnsi"/>
          <w:color w:val="auto"/>
          <w:lang w:eastAsia="en-US"/>
        </w:rPr>
      </w:pPr>
      <w:r w:rsidRPr="00961CC1">
        <w:rPr>
          <w:rFonts w:eastAsia="Arial"/>
          <w:color w:val="000000"/>
          <w:lang w:eastAsia="en-US"/>
        </w:rPr>
        <w:t>L’esclusione dal Fondo pluriennale vincolato della quota rinveniente da debito. La differenza tra il Fondo pluriennale vincolato e il risultato di amministrazione.</w:t>
      </w:r>
    </w:p>
    <w:p w:rsidR="00BC7480" w:rsidRPr="00961CC1" w:rsidRDefault="00BC7480" w:rsidP="006D0E24">
      <w:pPr>
        <w:numPr>
          <w:ilvl w:val="1"/>
          <w:numId w:val="11"/>
        </w:numPr>
        <w:ind w:hanging="357"/>
        <w:jc w:val="both"/>
        <w:textAlignment w:val="baseline"/>
        <w:rPr>
          <w:rFonts w:eastAsiaTheme="minorHAnsi"/>
          <w:color w:val="auto"/>
          <w:lang w:eastAsia="en-US"/>
        </w:rPr>
      </w:pP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 xml:space="preserve"> Il controllo degli equilibri finanziari sugli organismi esterni e sulle società partecipate </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La ricognizione generale e i modelli di governance degli organismi esterni e delle società partecipate</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gestioni “esternalizzate” e la latitudine dei vincoli di finanza pubblica</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Il Bilancio consolidato e gli obblighi dell’organo di revisione sugli equilibri derivanti dalla gestione degli organismi partecipati: il superamento della nota asseverata di cui all’art. 6 comma 17 d.l.95/2012 e la previsione dell’art. 11 del dlgs 118/2011</w:t>
      </w: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La verifica  dell’organo di revisione sull’indebitamento</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 xml:space="preserve">La programmazione pluriennale degli investimenti. </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figure anomale e i rischi di elusione: il leasing finanziario, la costituzione del Fondo pluriennale vincolato, la concessione di crediti, ecc.</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differenze con il patto di stabilità interno.</w:t>
      </w:r>
    </w:p>
    <w:p w:rsidR="008E449F" w:rsidRPr="00961CC1" w:rsidRDefault="008E449F" w:rsidP="008E449F">
      <w:pPr>
        <w:numPr>
          <w:ilvl w:val="0"/>
          <w:numId w:val="10"/>
        </w:numPr>
        <w:contextualSpacing/>
        <w:jc w:val="both"/>
        <w:rPr>
          <w:rFonts w:eastAsiaTheme="minorHAnsi"/>
          <w:color w:val="auto"/>
          <w:lang w:eastAsia="en-US"/>
        </w:rPr>
      </w:pPr>
      <w:r w:rsidRPr="00961CC1">
        <w:rPr>
          <w:rFonts w:eastAsiaTheme="minorHAnsi"/>
          <w:b/>
          <w:color w:val="auto"/>
          <w:lang w:eastAsia="en-US"/>
        </w:rPr>
        <w:t>La verifica dell’organo di revisione sull’applicazione del Patto di stabilità interno e il suo superamento</w:t>
      </w:r>
    </w:p>
    <w:p w:rsidR="008E449F" w:rsidRPr="00961CC1" w:rsidRDefault="008E449F" w:rsidP="008E449F">
      <w:pPr>
        <w:numPr>
          <w:ilvl w:val="1"/>
          <w:numId w:val="11"/>
        </w:numPr>
        <w:ind w:hanging="357"/>
        <w:jc w:val="both"/>
        <w:textAlignment w:val="baseline"/>
        <w:rPr>
          <w:rFonts w:eastAsiaTheme="minorHAnsi"/>
          <w:color w:val="auto"/>
          <w:lang w:eastAsia="en-US"/>
        </w:rPr>
      </w:pPr>
      <w:r w:rsidRPr="00961CC1">
        <w:rPr>
          <w:rFonts w:eastAsia="Arial"/>
          <w:color w:val="000000"/>
          <w:lang w:eastAsia="en-US"/>
        </w:rPr>
        <w:t>La fine dell’applicazione del Patto di stabilità interno a partire dal 1° gennaio 2016. Le nuove regole</w:t>
      </w: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La verifica  dell’organo di revisione sugli altri vincoli</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voci di spesa ( incarichi, autovetture ecc. ) rilevanti per la verifica e le conseguenze sia in termini di</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controllo esterno che in termini di responsabilita’</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La spesa per concessione di contributi</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La spesa per incarichi di collaborazione ex art. 7, co. 6 e segg. del D.Lgs. 165/2001</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L’analisi di casi specifici tratti dalla giurisprudenza della Corte dei conti</w:t>
      </w:r>
    </w:p>
    <w:p w:rsidR="008E449F" w:rsidRPr="00961CC1" w:rsidRDefault="008E449F" w:rsidP="008E449F">
      <w:pPr>
        <w:numPr>
          <w:ilvl w:val="0"/>
          <w:numId w:val="10"/>
        </w:numPr>
        <w:contextualSpacing/>
        <w:jc w:val="both"/>
        <w:rPr>
          <w:rFonts w:eastAsiaTheme="minorHAnsi"/>
          <w:b/>
          <w:color w:val="auto"/>
          <w:lang w:eastAsia="en-US"/>
        </w:rPr>
      </w:pPr>
      <w:r w:rsidRPr="00961CC1">
        <w:rPr>
          <w:rFonts w:eastAsiaTheme="minorHAnsi"/>
          <w:b/>
          <w:color w:val="auto"/>
          <w:lang w:eastAsia="en-US"/>
        </w:rPr>
        <w:t xml:space="preserve">I controlli esterni dopo il D.L. 174/2012 e la legge di stabilita’ 2016 </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Il sistema dei controlli esterni e gli organi coinvolti</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Corte dei conti, Ragioneria generale dello Stato e organo di revisione. Le criticita’ rilevanti per il controllo e per le ispezioni della Ragioneria Generale dello Stato.Interazioni possibili</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verifiche sul Bilancio di Previsione</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verifiche sul Rendiconto della Gestione</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Il meccanismo stabilito dall’art. 148 bis del Tuel</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I nuovi poteri della Corte dei conti anche alla luce della sentenza Corte costituzionale 40/2014</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Il controllo annuale sul funzionamento dei controlli interni(DL 90/2014)</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il mutato ambito oggettivo dopo il dl 90/2014</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gli esiti del controllo e il ruolo dell’organo di revisione. Le sanzioni applicate dalla Corte (art. 148 comma 4 del Tuel)</w:t>
      </w:r>
    </w:p>
    <w:p w:rsidR="008E449F" w:rsidRPr="00961CC1" w:rsidRDefault="008E449F" w:rsidP="008E449F">
      <w:pPr>
        <w:numPr>
          <w:ilvl w:val="2"/>
          <w:numId w:val="11"/>
        </w:numPr>
        <w:jc w:val="both"/>
        <w:textAlignment w:val="baseline"/>
        <w:rPr>
          <w:rFonts w:eastAsia="Arial"/>
          <w:color w:val="000000"/>
          <w:lang w:eastAsia="en-US"/>
        </w:rPr>
      </w:pPr>
      <w:r w:rsidRPr="00961CC1">
        <w:rPr>
          <w:rFonts w:eastAsia="Arial"/>
          <w:color w:val="000000"/>
          <w:lang w:eastAsia="en-US"/>
        </w:rPr>
        <w:t>Le competenze della Corte dei conti in materia di dissesto finanziario</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La procedura di riequilibrio ed il fondo “anti-default”</w:t>
      </w:r>
    </w:p>
    <w:p w:rsidR="008E449F" w:rsidRPr="00961CC1" w:rsidRDefault="008E449F" w:rsidP="008E449F">
      <w:pPr>
        <w:numPr>
          <w:ilvl w:val="1"/>
          <w:numId w:val="11"/>
        </w:numPr>
        <w:ind w:hanging="357"/>
        <w:jc w:val="both"/>
        <w:textAlignment w:val="baseline"/>
        <w:rPr>
          <w:rFonts w:eastAsia="Arial"/>
          <w:color w:val="000000"/>
          <w:lang w:eastAsia="en-US"/>
        </w:rPr>
      </w:pPr>
      <w:r w:rsidRPr="00961CC1">
        <w:rPr>
          <w:rFonts w:eastAsia="Arial"/>
          <w:color w:val="000000"/>
          <w:lang w:eastAsia="en-US"/>
        </w:rPr>
        <w:t>Le conseguenze in tema di violazione dei vincoli e le intersecazioni con i profili di responsabilita’</w:t>
      </w:r>
    </w:p>
    <w:p w:rsidR="00AC0DD1" w:rsidRDefault="00AC0DD1" w:rsidP="00961CC1">
      <w:pPr>
        <w:ind w:left="1440"/>
        <w:jc w:val="both"/>
        <w:textAlignment w:val="baseline"/>
        <w:rPr>
          <w:rFonts w:eastAsia="Arial"/>
          <w:color w:val="000000"/>
          <w:lang w:eastAsia="en-US"/>
        </w:rPr>
      </w:pPr>
    </w:p>
    <w:p w:rsidR="00961CC1" w:rsidRDefault="00961CC1" w:rsidP="00961CC1">
      <w:pPr>
        <w:ind w:left="1440"/>
        <w:jc w:val="both"/>
        <w:textAlignment w:val="baseline"/>
        <w:rPr>
          <w:rFonts w:eastAsia="Arial"/>
          <w:color w:val="000000"/>
          <w:lang w:eastAsia="en-US"/>
        </w:rPr>
      </w:pPr>
    </w:p>
    <w:p w:rsidR="00961CC1" w:rsidRPr="00961CC1" w:rsidRDefault="00961CC1" w:rsidP="00961CC1">
      <w:pPr>
        <w:ind w:left="1440"/>
        <w:jc w:val="both"/>
        <w:textAlignment w:val="baseline"/>
        <w:rPr>
          <w:rFonts w:eastAsia="Arial"/>
          <w:color w:val="000000"/>
          <w:lang w:eastAsia="en-US"/>
        </w:rPr>
      </w:pPr>
    </w:p>
    <w:p w:rsidR="008E449F" w:rsidRPr="00A33AED" w:rsidRDefault="008E449F" w:rsidP="008E449F">
      <w:pPr>
        <w:ind w:right="-28"/>
        <w:rPr>
          <w:rFonts w:eastAsiaTheme="minorHAnsi"/>
          <w:b/>
          <w:color w:val="FF0000"/>
          <w:lang w:eastAsia="en-US"/>
        </w:rPr>
      </w:pPr>
    </w:p>
    <w:p w:rsidR="008E449F" w:rsidRPr="00A33AED" w:rsidRDefault="008E449F" w:rsidP="008E449F">
      <w:pPr>
        <w:ind w:right="-28"/>
        <w:rPr>
          <w:rFonts w:eastAsia="Arial Unicode MS"/>
          <w:b/>
          <w:bCs/>
          <w:color w:val="0000FF"/>
          <w:lang w:eastAsia="it-IT"/>
        </w:rPr>
      </w:pPr>
      <w:r w:rsidRPr="00A33AED">
        <w:rPr>
          <w:rFonts w:eastAsia="Calibri"/>
          <w:b/>
          <w:bCs/>
          <w:i/>
          <w:iCs/>
          <w:color w:val="000000"/>
          <w:sz w:val="20"/>
          <w:szCs w:val="20"/>
          <w:lang w:eastAsia="it-IT"/>
        </w:rPr>
        <w:t xml:space="preserve">Docente: Dott. Tiziano Tessaro </w:t>
      </w:r>
    </w:p>
    <w:p w:rsidR="00703453" w:rsidRPr="00A33AED" w:rsidRDefault="00703453" w:rsidP="00703453">
      <w:pPr>
        <w:rPr>
          <w:rFonts w:eastAsia="Calibri"/>
          <w:color w:val="auto"/>
          <w:lang w:eastAsia="en-US"/>
        </w:rPr>
      </w:pPr>
    </w:p>
    <w:p w:rsidR="00F71368" w:rsidRDefault="00F71368"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Default="00961CC1" w:rsidP="00703453">
      <w:pPr>
        <w:rPr>
          <w:rFonts w:eastAsia="Calibri"/>
          <w:color w:val="auto"/>
          <w:lang w:eastAsia="en-US"/>
        </w:rPr>
      </w:pPr>
    </w:p>
    <w:p w:rsidR="00961CC1" w:rsidRPr="00A33AED" w:rsidRDefault="00961CC1" w:rsidP="00703453">
      <w:pPr>
        <w:rPr>
          <w:rFonts w:eastAsia="Calibri"/>
          <w:color w:val="auto"/>
          <w:lang w:eastAsia="en-US"/>
        </w:rPr>
      </w:pPr>
    </w:p>
    <w:p w:rsidR="00EA2BCA" w:rsidRPr="00A33AED" w:rsidRDefault="00EA2BCA" w:rsidP="00703453">
      <w:pPr>
        <w:rPr>
          <w:rFonts w:eastAsia="Calibri"/>
          <w:color w:val="auto"/>
          <w:lang w:eastAsia="en-US"/>
        </w:rPr>
      </w:pPr>
    </w:p>
    <w:p w:rsidR="00F71368" w:rsidRPr="00A33AED" w:rsidRDefault="00F71368" w:rsidP="00F71368">
      <w:pPr>
        <w:pBdr>
          <w:bottom w:val="single" w:sz="4" w:space="1" w:color="999999"/>
        </w:pBdr>
        <w:ind w:right="-28"/>
        <w:rPr>
          <w:rFonts w:eastAsia="Arial Unicode MS"/>
          <w:b/>
          <w:bCs/>
          <w:color w:val="002060"/>
          <w:sz w:val="28"/>
          <w:szCs w:val="28"/>
          <w:lang w:eastAsia="it-IT"/>
        </w:rPr>
      </w:pPr>
      <w:r w:rsidRPr="00A33AED">
        <w:rPr>
          <w:rFonts w:eastAsia="Arial Unicode MS"/>
          <w:b/>
          <w:bCs/>
          <w:color w:val="002060"/>
          <w:sz w:val="28"/>
          <w:szCs w:val="28"/>
          <w:lang w:eastAsia="it-IT"/>
        </w:rPr>
        <w:t>LEZIONE 3</w:t>
      </w:r>
    </w:p>
    <w:p w:rsidR="00F71368" w:rsidRPr="00A33AED" w:rsidRDefault="00F71368" w:rsidP="00F71368">
      <w:pPr>
        <w:ind w:right="-28"/>
        <w:rPr>
          <w:rFonts w:eastAsia="Arial Unicode MS"/>
          <w:b/>
          <w:bCs/>
          <w:i/>
          <w:iCs/>
          <w:color w:val="auto"/>
          <w:sz w:val="20"/>
          <w:szCs w:val="20"/>
          <w:lang w:eastAsia="it-IT"/>
        </w:rPr>
      </w:pPr>
    </w:p>
    <w:p w:rsidR="00AC0DD1" w:rsidRPr="00A33AED" w:rsidRDefault="00AC0DD1" w:rsidP="00AC0DD1">
      <w:pPr>
        <w:autoSpaceDE w:val="0"/>
        <w:autoSpaceDN w:val="0"/>
        <w:adjustRightInd w:val="0"/>
        <w:jc w:val="center"/>
        <w:rPr>
          <w:rFonts w:eastAsia="Calibri"/>
          <w:b/>
          <w:bCs/>
          <w:color w:val="FF0000"/>
          <w:lang w:eastAsia="it-IT"/>
        </w:rPr>
      </w:pPr>
    </w:p>
    <w:p w:rsidR="00AC0DD1" w:rsidRPr="00961CC1" w:rsidRDefault="00AC0DD1" w:rsidP="00AC0DD1">
      <w:pPr>
        <w:autoSpaceDE w:val="0"/>
        <w:autoSpaceDN w:val="0"/>
        <w:adjustRightInd w:val="0"/>
        <w:jc w:val="center"/>
        <w:rPr>
          <w:rFonts w:eastAsia="Calibri"/>
          <w:b/>
          <w:bCs/>
          <w:color w:val="FF0000"/>
          <w:sz w:val="28"/>
          <w:szCs w:val="28"/>
          <w:lang w:eastAsia="it-IT"/>
        </w:rPr>
      </w:pPr>
      <w:r w:rsidRPr="00961CC1">
        <w:rPr>
          <w:rFonts w:eastAsia="Calibri"/>
          <w:b/>
          <w:bCs/>
          <w:color w:val="FF0000"/>
          <w:sz w:val="28"/>
          <w:szCs w:val="28"/>
          <w:lang w:eastAsia="it-IT"/>
        </w:rPr>
        <w:t>I CONTROLLI DELL’ORGANO DI REVISIONE NELL’AMBITO</w:t>
      </w:r>
      <w:r w:rsidRPr="00961CC1">
        <w:rPr>
          <w:rFonts w:eastAsia="Calibri"/>
          <w:b/>
          <w:bCs/>
          <w:color w:val="FF0000"/>
          <w:sz w:val="28"/>
          <w:szCs w:val="28"/>
          <w:lang w:eastAsia="it-IT"/>
        </w:rPr>
        <w:br/>
        <w:t>DEL NUOVO ORDINAMENTO CONTABILE</w:t>
      </w:r>
    </w:p>
    <w:p w:rsidR="00AC0DD1" w:rsidRPr="00961CC1" w:rsidRDefault="00AC0DD1" w:rsidP="00AC0DD1">
      <w:pPr>
        <w:autoSpaceDE w:val="0"/>
        <w:autoSpaceDN w:val="0"/>
        <w:adjustRightInd w:val="0"/>
        <w:jc w:val="center"/>
        <w:rPr>
          <w:rFonts w:eastAsia="Calibri"/>
          <w:b/>
          <w:bCs/>
          <w:color w:val="FF0000"/>
          <w:sz w:val="28"/>
          <w:szCs w:val="28"/>
          <w:lang w:eastAsia="it-IT"/>
        </w:rPr>
      </w:pPr>
    </w:p>
    <w:p w:rsidR="00AC0DD1" w:rsidRPr="00961CC1" w:rsidRDefault="00AC0DD1" w:rsidP="00BC7480">
      <w:pPr>
        <w:autoSpaceDE w:val="0"/>
        <w:autoSpaceDN w:val="0"/>
        <w:adjustRightInd w:val="0"/>
        <w:rPr>
          <w:rFonts w:eastAsia="Calibri"/>
          <w:b/>
          <w:bCs/>
          <w:color w:val="FF0000"/>
          <w:sz w:val="28"/>
          <w:szCs w:val="28"/>
          <w:lang w:eastAsia="it-IT"/>
        </w:rPr>
      </w:pPr>
    </w:p>
    <w:p w:rsidR="00AC0DD1" w:rsidRPr="00A33AED" w:rsidRDefault="00AC0DD1" w:rsidP="00AC0DD1">
      <w:pPr>
        <w:autoSpaceDE w:val="0"/>
        <w:autoSpaceDN w:val="0"/>
        <w:adjustRightInd w:val="0"/>
        <w:jc w:val="both"/>
        <w:rPr>
          <w:rFonts w:eastAsia="Calibri"/>
          <w:i/>
          <w:iCs/>
          <w:color w:val="000000"/>
          <w:sz w:val="20"/>
          <w:szCs w:val="20"/>
          <w:lang w:eastAsia="it-IT"/>
        </w:rPr>
      </w:pPr>
    </w:p>
    <w:p w:rsidR="00AC0DD1" w:rsidRPr="00961CC1" w:rsidRDefault="00AC0DD1" w:rsidP="00AC0DD1">
      <w:pPr>
        <w:pStyle w:val="Paragrafoelenco"/>
        <w:numPr>
          <w:ilvl w:val="0"/>
          <w:numId w:val="14"/>
        </w:numPr>
        <w:spacing w:line="480" w:lineRule="auto"/>
        <w:rPr>
          <w:color w:val="auto"/>
        </w:rPr>
      </w:pPr>
      <w:r w:rsidRPr="00961CC1">
        <w:rPr>
          <w:color w:val="auto"/>
        </w:rPr>
        <w:t>Il sistema di bilancio 2018 – 2020</w:t>
      </w:r>
    </w:p>
    <w:p w:rsidR="00AC0DD1" w:rsidRPr="00961CC1" w:rsidRDefault="00AC0DD1" w:rsidP="00AC0DD1">
      <w:pPr>
        <w:pStyle w:val="Paragrafoelenco"/>
        <w:numPr>
          <w:ilvl w:val="0"/>
          <w:numId w:val="14"/>
        </w:numPr>
        <w:spacing w:line="480" w:lineRule="auto"/>
        <w:rPr>
          <w:color w:val="auto"/>
        </w:rPr>
      </w:pPr>
      <w:r w:rsidRPr="00961CC1">
        <w:rPr>
          <w:color w:val="auto"/>
        </w:rPr>
        <w:t>Il riaccertamento ordinario</w:t>
      </w:r>
    </w:p>
    <w:p w:rsidR="00AC0DD1" w:rsidRPr="00961CC1" w:rsidRDefault="00AC0DD1" w:rsidP="00AC0DD1">
      <w:pPr>
        <w:pStyle w:val="Paragrafoelenco"/>
        <w:numPr>
          <w:ilvl w:val="0"/>
          <w:numId w:val="14"/>
        </w:numPr>
        <w:spacing w:line="480" w:lineRule="auto"/>
        <w:rPr>
          <w:color w:val="auto"/>
        </w:rPr>
      </w:pPr>
      <w:r w:rsidRPr="00961CC1">
        <w:rPr>
          <w:color w:val="auto"/>
        </w:rPr>
        <w:t>Il rendiconto 2017</w:t>
      </w:r>
    </w:p>
    <w:p w:rsidR="00AC0DD1" w:rsidRPr="00961CC1" w:rsidRDefault="00AC0DD1" w:rsidP="00AC0DD1">
      <w:pPr>
        <w:pStyle w:val="Paragrafoelenco"/>
        <w:numPr>
          <w:ilvl w:val="0"/>
          <w:numId w:val="14"/>
        </w:numPr>
        <w:spacing w:line="480" w:lineRule="auto"/>
        <w:rPr>
          <w:color w:val="auto"/>
        </w:rPr>
      </w:pPr>
      <w:r w:rsidRPr="00961CC1">
        <w:rPr>
          <w:color w:val="auto"/>
        </w:rPr>
        <w:t>La dinamica del FCDE e del FPV</w:t>
      </w:r>
    </w:p>
    <w:p w:rsidR="00AC0DD1" w:rsidRPr="00961CC1" w:rsidRDefault="00AC0DD1" w:rsidP="00AC0DD1">
      <w:pPr>
        <w:pStyle w:val="Paragrafoelenco"/>
        <w:numPr>
          <w:ilvl w:val="0"/>
          <w:numId w:val="14"/>
        </w:numPr>
        <w:spacing w:line="480" w:lineRule="auto"/>
        <w:rPr>
          <w:color w:val="auto"/>
        </w:rPr>
      </w:pPr>
      <w:r w:rsidRPr="00961CC1">
        <w:rPr>
          <w:color w:val="auto"/>
        </w:rPr>
        <w:t>I controlli periodici dei revisori</w:t>
      </w:r>
    </w:p>
    <w:p w:rsidR="00AC0DD1" w:rsidRPr="00961CC1" w:rsidRDefault="00AC0DD1" w:rsidP="00AC0DD1">
      <w:pPr>
        <w:pStyle w:val="Paragrafoelenco"/>
        <w:numPr>
          <w:ilvl w:val="0"/>
          <w:numId w:val="14"/>
        </w:numPr>
        <w:spacing w:line="480" w:lineRule="auto"/>
        <w:rPr>
          <w:color w:val="auto"/>
        </w:rPr>
      </w:pPr>
      <w:r w:rsidRPr="00961CC1">
        <w:rPr>
          <w:color w:val="auto"/>
        </w:rPr>
        <w:t>la relazione sul bilancio consolidato</w:t>
      </w:r>
    </w:p>
    <w:p w:rsidR="00AC0DD1" w:rsidRPr="00BF5B19" w:rsidRDefault="00AC0DD1" w:rsidP="00AC0DD1">
      <w:pPr>
        <w:pStyle w:val="Paragrafoelenco"/>
        <w:spacing w:line="480" w:lineRule="auto"/>
        <w:rPr>
          <w:color w:val="auto"/>
          <w:sz w:val="20"/>
          <w:szCs w:val="20"/>
        </w:rPr>
      </w:pPr>
      <w:r w:rsidRPr="00BF5B19">
        <w:rPr>
          <w:color w:val="auto"/>
          <w:sz w:val="20"/>
          <w:szCs w:val="20"/>
        </w:rPr>
        <w:t xml:space="preserve"> </w:t>
      </w:r>
    </w:p>
    <w:p w:rsidR="00AC0DD1" w:rsidRPr="00F71368" w:rsidRDefault="00AC0DD1" w:rsidP="00AC0DD1">
      <w:pPr>
        <w:autoSpaceDE w:val="0"/>
        <w:autoSpaceDN w:val="0"/>
        <w:adjustRightInd w:val="0"/>
        <w:jc w:val="both"/>
        <w:rPr>
          <w:rFonts w:eastAsia="Calibri"/>
          <w:b/>
          <w:bCs/>
          <w:i/>
          <w:iCs/>
          <w:color w:val="000000"/>
          <w:sz w:val="20"/>
          <w:szCs w:val="20"/>
          <w:lang w:eastAsia="it-IT"/>
        </w:rPr>
      </w:pPr>
    </w:p>
    <w:p w:rsidR="00AC0DD1" w:rsidRPr="00BC7480" w:rsidRDefault="00AC0DD1" w:rsidP="00BC7480">
      <w:pPr>
        <w:autoSpaceDE w:val="0"/>
        <w:autoSpaceDN w:val="0"/>
        <w:adjustRightInd w:val="0"/>
        <w:jc w:val="both"/>
        <w:rPr>
          <w:rFonts w:eastAsia="Calibri"/>
          <w:b/>
          <w:bCs/>
          <w:i/>
          <w:iCs/>
          <w:color w:val="000000"/>
          <w:sz w:val="20"/>
          <w:szCs w:val="20"/>
          <w:lang w:eastAsia="it-IT"/>
        </w:rPr>
      </w:pPr>
      <w:r>
        <w:rPr>
          <w:rFonts w:eastAsia="Calibri"/>
          <w:b/>
          <w:bCs/>
          <w:i/>
          <w:iCs/>
          <w:color w:val="000000"/>
          <w:sz w:val="20"/>
          <w:szCs w:val="20"/>
          <w:lang w:eastAsia="it-IT"/>
        </w:rPr>
        <w:t>Docente</w:t>
      </w:r>
      <w:r w:rsidRPr="00F71368">
        <w:rPr>
          <w:rFonts w:eastAsia="Calibri"/>
          <w:b/>
          <w:bCs/>
          <w:i/>
          <w:iCs/>
          <w:color w:val="000000"/>
          <w:sz w:val="20"/>
          <w:szCs w:val="20"/>
          <w:lang w:eastAsia="it-IT"/>
        </w:rPr>
        <w:t xml:space="preserve">: Dott. </w:t>
      </w:r>
      <w:r>
        <w:rPr>
          <w:rFonts w:eastAsia="Calibri"/>
          <w:b/>
          <w:bCs/>
          <w:i/>
          <w:iCs/>
          <w:color w:val="000000"/>
          <w:sz w:val="20"/>
          <w:szCs w:val="20"/>
          <w:lang w:eastAsia="it-IT"/>
        </w:rPr>
        <w:t>Marco Castellani</w:t>
      </w:r>
    </w:p>
    <w:p w:rsidR="00AC0DD1" w:rsidRDefault="00AC0DD1" w:rsidP="00F71368">
      <w:pPr>
        <w:ind w:right="-28"/>
        <w:rPr>
          <w:rFonts w:eastAsia="Arial Unicode MS"/>
          <w:b/>
          <w:bCs/>
          <w:i/>
          <w:color w:val="auto"/>
          <w:sz w:val="20"/>
          <w:szCs w:val="20"/>
          <w:lang w:eastAsia="it-IT"/>
        </w:rPr>
      </w:pPr>
    </w:p>
    <w:p w:rsidR="00F71368" w:rsidRDefault="00F71368"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961CC1" w:rsidRDefault="00961CC1" w:rsidP="00F71368">
      <w:pPr>
        <w:ind w:right="-28"/>
        <w:rPr>
          <w:rFonts w:eastAsia="Arial Unicode MS"/>
          <w:b/>
          <w:bCs/>
          <w:i/>
          <w:color w:val="auto"/>
          <w:sz w:val="20"/>
          <w:szCs w:val="20"/>
          <w:lang w:eastAsia="it-IT"/>
        </w:rPr>
      </w:pPr>
    </w:p>
    <w:p w:rsidR="00AC0DD1" w:rsidRDefault="00AC0DD1" w:rsidP="00F71368">
      <w:pPr>
        <w:ind w:right="-28"/>
        <w:rPr>
          <w:rFonts w:eastAsia="Arial Unicode MS"/>
          <w:b/>
          <w:bCs/>
          <w:i/>
          <w:color w:val="auto"/>
          <w:sz w:val="20"/>
          <w:szCs w:val="20"/>
          <w:lang w:eastAsia="it-IT"/>
        </w:rPr>
      </w:pPr>
    </w:p>
    <w:p w:rsidR="00AC0DD1" w:rsidRDefault="00AC0DD1" w:rsidP="00F71368">
      <w:pPr>
        <w:ind w:right="-28"/>
        <w:rPr>
          <w:rFonts w:eastAsia="Arial Unicode MS"/>
          <w:b/>
          <w:bCs/>
          <w:i/>
          <w:color w:val="auto"/>
          <w:sz w:val="20"/>
          <w:szCs w:val="20"/>
          <w:lang w:eastAsia="it-IT"/>
        </w:rPr>
      </w:pPr>
    </w:p>
    <w:p w:rsidR="00F71368" w:rsidRDefault="00F71368" w:rsidP="006D0E24">
      <w:pPr>
        <w:pStyle w:val="Paragrafoelenco"/>
        <w:ind w:left="0" w:right="-28"/>
        <w:jc w:val="center"/>
      </w:pPr>
      <w:r w:rsidRPr="00F71368">
        <w:rPr>
          <w:rFonts w:eastAsia="Arial Unicode MS"/>
          <w:b/>
          <w:bCs/>
          <w:i/>
          <w:color w:val="0070C0"/>
          <w:lang w:eastAsia="it-IT"/>
        </w:rPr>
        <w:t>In allegato scheda di iscrizione</w:t>
      </w:r>
      <w:r w:rsidR="00EA2BCA">
        <w:rPr>
          <w:rFonts w:eastAsia="Arial Unicode MS"/>
          <w:b/>
          <w:bCs/>
          <w:i/>
          <w:color w:val="0070C0"/>
          <w:lang w:eastAsia="it-IT"/>
        </w:rPr>
        <w:t xml:space="preserve"> </w:t>
      </w:r>
    </w:p>
    <w:sectPr w:rsidR="00F71368" w:rsidSect="0054151C">
      <w:headerReference w:type="default" r:id="rId10"/>
      <w:footerReference w:type="default" r:id="rId11"/>
      <w:headerReference w:type="first" r:id="rId12"/>
      <w:footerReference w:type="first" r:id="rId13"/>
      <w:pgSz w:w="11907" w:h="16839"/>
      <w:pgMar w:top="912" w:right="1800" w:bottom="993" w:left="1800" w:header="284" w:footer="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75" w:rsidRDefault="00276E75" w:rsidP="00FB2AE3">
      <w:r>
        <w:separator/>
      </w:r>
    </w:p>
  </w:endnote>
  <w:endnote w:type="continuationSeparator" w:id="0">
    <w:p w:rsidR="00276E75" w:rsidRDefault="00276E75" w:rsidP="00FB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94" w:rsidRDefault="00A12394" w:rsidP="000112D8">
    <w:pPr>
      <w:pStyle w:val="Pidipagina"/>
      <w:jc w:val="center"/>
      <w:rPr>
        <w:rFonts w:eastAsiaTheme="minorHAnsi"/>
        <w:b/>
        <w:color w:val="002060"/>
        <w:sz w:val="16"/>
        <w:szCs w:val="16"/>
        <w:lang w:eastAsia="en-US"/>
      </w:rPr>
    </w:pPr>
  </w:p>
  <w:p w:rsidR="00A12394" w:rsidRDefault="000D5865" w:rsidP="008C03E7">
    <w:pPr>
      <w:pStyle w:val="Pidipagina"/>
      <w:pBdr>
        <w:top w:val="single" w:sz="4" w:space="1" w:color="auto"/>
      </w:pBdr>
      <w:jc w:val="center"/>
      <w:rPr>
        <w:rFonts w:eastAsiaTheme="minorHAnsi"/>
        <w:b/>
        <w:color w:val="002060"/>
        <w:sz w:val="16"/>
        <w:szCs w:val="16"/>
        <w:lang w:eastAsia="en-US"/>
      </w:rPr>
    </w:pPr>
    <w:r w:rsidRPr="00A12394">
      <w:rPr>
        <w:rFonts w:eastAsiaTheme="minorHAnsi"/>
        <w:b/>
        <w:color w:val="002060"/>
        <w:sz w:val="16"/>
        <w:szCs w:val="16"/>
        <w:lang w:eastAsia="en-US"/>
      </w:rPr>
      <w:t xml:space="preserve">        </w:t>
    </w:r>
    <w:r w:rsidR="000112D8" w:rsidRPr="00A12394">
      <w:rPr>
        <w:rFonts w:eastAsiaTheme="minorHAnsi"/>
        <w:b/>
        <w:color w:val="002060"/>
        <w:sz w:val="16"/>
        <w:szCs w:val="16"/>
        <w:lang w:eastAsia="en-US"/>
      </w:rPr>
      <w:t>COMITATO DI PROGETTO E INFORMAZIONI</w:t>
    </w:r>
    <w:r w:rsidR="00A12394">
      <w:rPr>
        <w:rFonts w:eastAsiaTheme="minorHAnsi"/>
        <w:b/>
        <w:color w:val="002060"/>
        <w:sz w:val="16"/>
        <w:szCs w:val="16"/>
        <w:lang w:eastAsia="en-US"/>
      </w:rPr>
      <w:t xml:space="preserve"> </w:t>
    </w:r>
    <w:r w:rsidR="000112D8" w:rsidRPr="00A12394">
      <w:rPr>
        <w:rFonts w:eastAsiaTheme="minorHAnsi"/>
        <w:b/>
        <w:color w:val="002060"/>
        <w:sz w:val="16"/>
        <w:szCs w:val="16"/>
        <w:lang w:eastAsia="en-US"/>
      </w:rPr>
      <w:t>UPI EMILIA-ROMAGNA</w:t>
    </w:r>
  </w:p>
  <w:p w:rsidR="000112D8" w:rsidRPr="00A12394" w:rsidRDefault="000112D8" w:rsidP="00A12394">
    <w:pPr>
      <w:pStyle w:val="Pidipagina"/>
      <w:jc w:val="center"/>
      <w:rPr>
        <w:rFonts w:eastAsiaTheme="minorHAnsi"/>
        <w:b/>
        <w:color w:val="002060"/>
        <w:sz w:val="16"/>
        <w:szCs w:val="16"/>
        <w:lang w:eastAsia="en-US"/>
      </w:rPr>
    </w:pPr>
    <w:r w:rsidRPr="00A12394">
      <w:rPr>
        <w:rFonts w:eastAsiaTheme="minorHAnsi"/>
        <w:color w:val="002060"/>
        <w:sz w:val="16"/>
        <w:szCs w:val="16"/>
        <w:lang w:eastAsia="en-US"/>
      </w:rPr>
      <w:t xml:space="preserve"> via I. Malvasia,6 – 40131 Bologna</w:t>
    </w:r>
  </w:p>
  <w:p w:rsidR="000112D8" w:rsidRPr="00A12394" w:rsidRDefault="000112D8" w:rsidP="000112D8">
    <w:pPr>
      <w:tabs>
        <w:tab w:val="center" w:pos="4819"/>
        <w:tab w:val="right" w:pos="9638"/>
      </w:tabs>
      <w:jc w:val="center"/>
      <w:rPr>
        <w:rFonts w:eastAsiaTheme="minorHAnsi"/>
        <w:color w:val="002060"/>
        <w:sz w:val="16"/>
        <w:szCs w:val="16"/>
        <w:lang w:eastAsia="en-US"/>
      </w:rPr>
    </w:pPr>
    <w:r w:rsidRPr="00A12394">
      <w:rPr>
        <w:rFonts w:eastAsiaTheme="minorHAnsi"/>
        <w:b/>
        <w:color w:val="002060"/>
        <w:sz w:val="16"/>
        <w:szCs w:val="16"/>
        <w:lang w:eastAsia="en-US"/>
      </w:rPr>
      <w:t>Responsabile Formazione:</w:t>
    </w:r>
    <w:r w:rsidRPr="00A12394">
      <w:rPr>
        <w:rFonts w:eastAsiaTheme="minorHAnsi"/>
        <w:color w:val="002060"/>
        <w:sz w:val="16"/>
        <w:szCs w:val="16"/>
        <w:lang w:eastAsia="en-US"/>
      </w:rPr>
      <w:t xml:space="preserve"> dott.ssa Luana Plessi</w:t>
    </w:r>
  </w:p>
  <w:p w:rsidR="000112D8" w:rsidRPr="00A12394" w:rsidRDefault="00276E75" w:rsidP="000112D8">
    <w:pPr>
      <w:tabs>
        <w:tab w:val="center" w:pos="4819"/>
        <w:tab w:val="right" w:pos="9638"/>
      </w:tabs>
      <w:jc w:val="center"/>
      <w:rPr>
        <w:rFonts w:eastAsiaTheme="minorHAnsi"/>
        <w:color w:val="002060"/>
        <w:sz w:val="16"/>
        <w:szCs w:val="16"/>
        <w:lang w:eastAsia="en-US"/>
      </w:rPr>
    </w:pPr>
    <w:hyperlink r:id="rId1" w:history="1">
      <w:r w:rsidR="000112D8" w:rsidRPr="00A12394">
        <w:rPr>
          <w:rFonts w:eastAsiaTheme="minorHAnsi"/>
          <w:color w:val="002060"/>
          <w:sz w:val="16"/>
          <w:szCs w:val="16"/>
          <w:u w:val="single"/>
          <w:lang w:eastAsia="en-US"/>
        </w:rPr>
        <w:t>luana.plessi@upi.emilia-romagna.it</w:t>
      </w:r>
    </w:hyperlink>
  </w:p>
  <w:p w:rsidR="000112D8" w:rsidRPr="00A12394" w:rsidRDefault="000112D8" w:rsidP="000112D8">
    <w:pPr>
      <w:tabs>
        <w:tab w:val="center" w:pos="4819"/>
        <w:tab w:val="right" w:pos="9638"/>
      </w:tabs>
      <w:jc w:val="center"/>
      <w:rPr>
        <w:rFonts w:eastAsiaTheme="minorHAnsi"/>
        <w:b/>
        <w:color w:val="002060"/>
        <w:sz w:val="16"/>
        <w:szCs w:val="16"/>
        <w:lang w:eastAsia="en-US"/>
      </w:rPr>
    </w:pPr>
    <w:r w:rsidRPr="00A12394">
      <w:rPr>
        <w:rFonts w:eastAsiaTheme="minorHAnsi"/>
        <w:b/>
        <w:color w:val="002060"/>
        <w:sz w:val="16"/>
        <w:szCs w:val="16"/>
        <w:lang w:eastAsia="en-US"/>
      </w:rPr>
      <w:t>Segreteria Organizzativa</w:t>
    </w:r>
  </w:p>
  <w:p w:rsidR="000112D8" w:rsidRPr="00A12394" w:rsidRDefault="000112D8" w:rsidP="000112D8">
    <w:pPr>
      <w:tabs>
        <w:tab w:val="center" w:pos="4819"/>
        <w:tab w:val="right" w:pos="9638"/>
      </w:tabs>
      <w:jc w:val="center"/>
      <w:rPr>
        <w:rFonts w:eastAsiaTheme="minorHAnsi"/>
        <w:color w:val="002060"/>
        <w:sz w:val="16"/>
        <w:szCs w:val="16"/>
        <w:lang w:eastAsia="en-US"/>
      </w:rPr>
    </w:pPr>
    <w:r w:rsidRPr="00A12394">
      <w:rPr>
        <w:rFonts w:eastAsiaTheme="minorHAnsi"/>
        <w:color w:val="002060"/>
        <w:sz w:val="16"/>
        <w:szCs w:val="16"/>
        <w:lang w:eastAsia="en-US"/>
      </w:rPr>
      <w:t>dott.ssa Federica Serra, Elettra Bergamini</w:t>
    </w:r>
  </w:p>
  <w:p w:rsidR="000112D8" w:rsidRPr="00A12394" w:rsidRDefault="000112D8" w:rsidP="000112D8">
    <w:pPr>
      <w:tabs>
        <w:tab w:val="center" w:pos="4819"/>
        <w:tab w:val="right" w:pos="9638"/>
      </w:tabs>
      <w:jc w:val="center"/>
      <w:rPr>
        <w:rFonts w:eastAsiaTheme="minorHAnsi"/>
        <w:color w:val="auto"/>
        <w:sz w:val="16"/>
        <w:szCs w:val="16"/>
        <w:lang w:val="en-US" w:eastAsia="en-US"/>
      </w:rPr>
    </w:pPr>
    <w:r w:rsidRPr="00A12394">
      <w:rPr>
        <w:rFonts w:eastAsiaTheme="minorHAnsi"/>
        <w:color w:val="002060"/>
        <w:sz w:val="16"/>
        <w:szCs w:val="16"/>
        <w:lang w:val="en-US" w:eastAsia="en-US"/>
      </w:rPr>
      <w:t xml:space="preserve">tel.051-6492491 fax 051-6494321                                                                                                                 </w:t>
    </w:r>
    <w:r w:rsidRPr="00A12394">
      <w:rPr>
        <w:rFonts w:eastAsiaTheme="minorHAnsi"/>
        <w:noProof/>
        <w:color w:val="auto"/>
        <w:sz w:val="16"/>
        <w:szCs w:val="16"/>
        <w:lang w:eastAsia="it-IT"/>
      </w:rPr>
      <w:drawing>
        <wp:inline distT="0" distB="0" distL="0" distR="0" wp14:anchorId="20BC6296" wp14:editId="761EE4F6">
          <wp:extent cx="980044" cy="228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png"/>
                  <pic:cNvPicPr/>
                </pic:nvPicPr>
                <pic:blipFill>
                  <a:blip r:embed="rId2">
                    <a:extLst>
                      <a:ext uri="{28A0092B-C50C-407E-A947-70E740481C1C}">
                        <a14:useLocalDpi xmlns:a14="http://schemas.microsoft.com/office/drawing/2010/main" val="0"/>
                      </a:ext>
                    </a:extLst>
                  </a:blip>
                  <a:stretch>
                    <a:fillRect/>
                  </a:stretch>
                </pic:blipFill>
                <pic:spPr>
                  <a:xfrm>
                    <a:off x="0" y="0"/>
                    <a:ext cx="980474" cy="228700"/>
                  </a:xfrm>
                  <a:prstGeom prst="rect">
                    <a:avLst/>
                  </a:prstGeom>
                </pic:spPr>
              </pic:pic>
            </a:graphicData>
          </a:graphic>
        </wp:inline>
      </w:drawing>
    </w:r>
    <w:r w:rsidRPr="00A12394">
      <w:rPr>
        <w:rFonts w:eastAsiaTheme="minorHAnsi"/>
        <w:color w:val="auto"/>
        <w:sz w:val="16"/>
        <w:szCs w:val="16"/>
        <w:lang w:val="en-US" w:eastAsia="en-US"/>
      </w:rPr>
      <w:t xml:space="preserve"> </w:t>
    </w:r>
    <w:r w:rsidRPr="00A12394">
      <w:rPr>
        <w:rFonts w:eastAsiaTheme="minorHAnsi"/>
        <w:color w:val="0000FF" w:themeColor="hyperlink"/>
        <w:sz w:val="16"/>
        <w:szCs w:val="16"/>
        <w:u w:val="single"/>
        <w:lang w:val="en-US" w:eastAsia="en-US"/>
      </w:rPr>
      <w:t>www.facebook.com/upiformazione.emiliaromagna</w:t>
    </w:r>
  </w:p>
  <w:p w:rsidR="000D5865" w:rsidRPr="000112D8" w:rsidRDefault="000D5865" w:rsidP="000D5865">
    <w:pPr>
      <w:rPr>
        <w:rFonts w:eastAsiaTheme="minorHAnsi"/>
        <w:b/>
        <w:color w:val="002060"/>
        <w:sz w:val="18"/>
        <w:szCs w:val="18"/>
        <w:lang w:val="en-US" w:eastAsia="en-US"/>
      </w:rPr>
    </w:pPr>
  </w:p>
  <w:p w:rsidR="00B022B4" w:rsidRPr="00A12394" w:rsidRDefault="00B022B4">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A0" w:rsidRDefault="00FB76A0">
    <w:pPr>
      <w:pStyle w:val="Pidipagina"/>
      <w:jc w:val="center"/>
    </w:pPr>
  </w:p>
  <w:p w:rsidR="00FB76A0" w:rsidRDefault="00FB76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75" w:rsidRDefault="00276E75" w:rsidP="00FB2AE3">
      <w:r>
        <w:separator/>
      </w:r>
    </w:p>
  </w:footnote>
  <w:footnote w:type="continuationSeparator" w:id="0">
    <w:p w:rsidR="00276E75" w:rsidRDefault="00276E75" w:rsidP="00FB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96" w:rsidRDefault="00B022B4" w:rsidP="00B022B4">
    <w:pPr>
      <w:pStyle w:val="Intestazione"/>
      <w:jc w:val="center"/>
    </w:pPr>
    <w:r>
      <w:t xml:space="preserve">    </w:t>
    </w:r>
    <w:r w:rsidR="00F045FE">
      <w:ptab w:relativeTo="margin" w:alignment="center" w:leader="none"/>
    </w:r>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24"/>
    </w:tblGrid>
    <w:tr w:rsidR="00FB3896" w:rsidTr="00FB3896">
      <w:trPr>
        <w:trHeight w:val="1704"/>
      </w:trPr>
      <w:tc>
        <w:tcPr>
          <w:tcW w:w="4223" w:type="dxa"/>
        </w:tcPr>
        <w:p w:rsidR="00FB3896" w:rsidRDefault="00FB3896" w:rsidP="00B022B4">
          <w:pPr>
            <w:pStyle w:val="Intestazione"/>
            <w:jc w:val="center"/>
          </w:pPr>
          <w:r>
            <w:rPr>
              <w:noProof/>
              <w:lang w:eastAsia="it-IT"/>
            </w:rPr>
            <w:drawing>
              <wp:inline distT="0" distB="0" distL="0" distR="0" wp14:anchorId="542EBBD9" wp14:editId="1FE94967">
                <wp:extent cx="1638300" cy="12477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38300" cy="1247775"/>
                        </a:xfrm>
                        <a:prstGeom prst="rect">
                          <a:avLst/>
                        </a:prstGeom>
                      </pic:spPr>
                    </pic:pic>
                  </a:graphicData>
                </a:graphic>
              </wp:inline>
            </w:drawing>
          </w:r>
        </w:p>
      </w:tc>
      <w:tc>
        <w:tcPr>
          <w:tcW w:w="4224" w:type="dxa"/>
        </w:tcPr>
        <w:p w:rsidR="00FB3896" w:rsidRDefault="00FB3896" w:rsidP="00FB3896">
          <w:pPr>
            <w:pStyle w:val="Intestazione"/>
            <w:rPr>
              <w:rFonts w:cs="Calibri"/>
              <w:noProof/>
            </w:rPr>
          </w:pPr>
        </w:p>
        <w:p w:rsidR="00FB3896" w:rsidRDefault="00FB3896" w:rsidP="00FB3896">
          <w:pPr>
            <w:pStyle w:val="Intestazione"/>
            <w:rPr>
              <w:rFonts w:cs="Calibri"/>
              <w:noProof/>
            </w:rPr>
          </w:pPr>
        </w:p>
        <w:p w:rsidR="00FB3896" w:rsidRDefault="00FB3896" w:rsidP="00FB3896">
          <w:pPr>
            <w:pStyle w:val="Intestazione"/>
            <w:jc w:val="center"/>
          </w:pPr>
          <w:r>
            <w:rPr>
              <w:rFonts w:cs="Calibri"/>
              <w:noProof/>
              <w:lang w:eastAsia="it-IT"/>
            </w:rPr>
            <w:drawing>
              <wp:inline distT="0" distB="0" distL="0" distR="0" wp14:anchorId="53B1B887" wp14:editId="6400F127">
                <wp:extent cx="2047875" cy="514350"/>
                <wp:effectExtent l="0" t="0" r="9525" b="0"/>
                <wp:docPr id="9" name="Immagine 9" descr="commercialisti mod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mercialisti mode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rsidR="00FB3896" w:rsidRDefault="00FB3896" w:rsidP="00FB3896">
          <w:pPr>
            <w:pStyle w:val="Intestazione"/>
          </w:pPr>
        </w:p>
      </w:tc>
    </w:tr>
  </w:tbl>
  <w:p w:rsidR="00FB2AE3" w:rsidRDefault="00FB2AE3" w:rsidP="00B022B4">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24"/>
    </w:tblGrid>
    <w:tr w:rsidR="004629F4" w:rsidTr="004629F4">
      <w:tc>
        <w:tcPr>
          <w:tcW w:w="4223" w:type="dxa"/>
        </w:tcPr>
        <w:p w:rsidR="004629F4" w:rsidRDefault="004629F4" w:rsidP="004629F4">
          <w:pPr>
            <w:pStyle w:val="Intestazione"/>
            <w:tabs>
              <w:tab w:val="clear" w:pos="4819"/>
              <w:tab w:val="center" w:pos="4962"/>
              <w:tab w:val="left" w:pos="5954"/>
            </w:tabs>
            <w:ind w:right="-57"/>
            <w:jc w:val="center"/>
          </w:pPr>
          <w:r>
            <w:rPr>
              <w:noProof/>
              <w:lang w:eastAsia="it-IT"/>
            </w:rPr>
            <w:drawing>
              <wp:inline distT="0" distB="0" distL="0" distR="0" wp14:anchorId="33FBBFFB" wp14:editId="5C00DD51">
                <wp:extent cx="1171575" cy="892304"/>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71575" cy="892304"/>
                        </a:xfrm>
                        <a:prstGeom prst="rect">
                          <a:avLst/>
                        </a:prstGeom>
                      </pic:spPr>
                    </pic:pic>
                  </a:graphicData>
                </a:graphic>
              </wp:inline>
            </w:drawing>
          </w:r>
        </w:p>
      </w:tc>
      <w:tc>
        <w:tcPr>
          <w:tcW w:w="4224" w:type="dxa"/>
        </w:tcPr>
        <w:p w:rsidR="004629F4" w:rsidRDefault="004629F4" w:rsidP="004629F4">
          <w:pPr>
            <w:pStyle w:val="Intestazione"/>
            <w:tabs>
              <w:tab w:val="clear" w:pos="4819"/>
              <w:tab w:val="center" w:pos="4962"/>
              <w:tab w:val="left" w:pos="5954"/>
            </w:tabs>
            <w:ind w:right="-57"/>
            <w:jc w:val="center"/>
          </w:pPr>
        </w:p>
        <w:p w:rsidR="004629F4" w:rsidRDefault="004629F4" w:rsidP="004629F4">
          <w:pPr>
            <w:pStyle w:val="Intestazione"/>
            <w:tabs>
              <w:tab w:val="clear" w:pos="4819"/>
              <w:tab w:val="center" w:pos="4962"/>
              <w:tab w:val="left" w:pos="5954"/>
            </w:tabs>
            <w:ind w:right="-57"/>
            <w:jc w:val="center"/>
          </w:pPr>
          <w:r>
            <w:rPr>
              <w:rFonts w:cs="Calibri"/>
              <w:noProof/>
              <w:lang w:eastAsia="it-IT"/>
            </w:rPr>
            <w:drawing>
              <wp:inline distT="0" distB="0" distL="0" distR="0" wp14:anchorId="2837642A" wp14:editId="700A5CC5">
                <wp:extent cx="2047875" cy="514350"/>
                <wp:effectExtent l="0" t="0" r="9525" b="0"/>
                <wp:docPr id="8" name="Immagine 8" descr="commercialisti mod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mercialisti mode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tc>
    </w:tr>
  </w:tbl>
  <w:p w:rsidR="000112D8" w:rsidRDefault="00396848" w:rsidP="00766500">
    <w:pPr>
      <w:pStyle w:val="Intestazione"/>
      <w:tabs>
        <w:tab w:val="clear" w:pos="4819"/>
        <w:tab w:val="center" w:pos="4962"/>
        <w:tab w:val="left" w:pos="5954"/>
      </w:tabs>
      <w:ind w:right="-57"/>
    </w:pPr>
    <w:r>
      <w:t xml:space="preserve">                        </w:t>
    </w:r>
    <w:r w:rsidR="00766500">
      <w:t xml:space="preserve">        </w:t>
    </w:r>
    <w:r w:rsidR="008C03E7">
      <w:t xml:space="preserve">   </w:t>
    </w:r>
    <w:r w:rsidR="0076650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1CA"/>
    <w:multiLevelType w:val="hybridMultilevel"/>
    <w:tmpl w:val="DD442D70"/>
    <w:lvl w:ilvl="0" w:tplc="7EBED08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1535432F"/>
    <w:multiLevelType w:val="hybridMultilevel"/>
    <w:tmpl w:val="3F309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0647F9"/>
    <w:multiLevelType w:val="hybridMultilevel"/>
    <w:tmpl w:val="23B64E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793AE3"/>
    <w:multiLevelType w:val="hybridMultilevel"/>
    <w:tmpl w:val="C9C03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71782F"/>
    <w:multiLevelType w:val="hybridMultilevel"/>
    <w:tmpl w:val="1D4E90FC"/>
    <w:lvl w:ilvl="0" w:tplc="5906C138">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667B1F"/>
    <w:multiLevelType w:val="hybridMultilevel"/>
    <w:tmpl w:val="4DAE7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2F75EA"/>
    <w:multiLevelType w:val="hybridMultilevel"/>
    <w:tmpl w:val="DA6CF6E8"/>
    <w:lvl w:ilvl="0" w:tplc="164CD7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165183"/>
    <w:multiLevelType w:val="hybridMultilevel"/>
    <w:tmpl w:val="31C22666"/>
    <w:lvl w:ilvl="0" w:tplc="F286C920">
      <w:start w:val="2"/>
      <w:numFmt w:val="bullet"/>
      <w:lvlText w:val="-"/>
      <w:lvlJc w:val="left"/>
      <w:pPr>
        <w:tabs>
          <w:tab w:val="num" w:pos="720"/>
        </w:tabs>
        <w:ind w:left="720" w:hanging="360"/>
      </w:pPr>
      <w:rPr>
        <w:rFonts w:ascii="Arial" w:eastAsia="Times New Roman" w:hAnsi="Arial" w:hint="default"/>
        <w:color w:val="auto"/>
      </w:rPr>
    </w:lvl>
    <w:lvl w:ilvl="1" w:tplc="F286C920">
      <w:start w:val="2"/>
      <w:numFmt w:val="bullet"/>
      <w:lvlText w:val="-"/>
      <w:lvlJc w:val="left"/>
      <w:pPr>
        <w:tabs>
          <w:tab w:val="num" w:pos="1440"/>
        </w:tabs>
        <w:ind w:left="1440" w:hanging="360"/>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8335CD3"/>
    <w:multiLevelType w:val="hybridMultilevel"/>
    <w:tmpl w:val="B0AAF3D4"/>
    <w:lvl w:ilvl="0" w:tplc="164CD7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F810F0"/>
    <w:multiLevelType w:val="hybridMultilevel"/>
    <w:tmpl w:val="99689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A965CA"/>
    <w:multiLevelType w:val="hybridMultilevel"/>
    <w:tmpl w:val="751E7CB2"/>
    <w:lvl w:ilvl="0" w:tplc="F286C920">
      <w:start w:val="2"/>
      <w:numFmt w:val="bullet"/>
      <w:lvlText w:val="-"/>
      <w:lvlJc w:val="left"/>
      <w:pPr>
        <w:tabs>
          <w:tab w:val="num" w:pos="720"/>
        </w:tabs>
        <w:ind w:left="720" w:hanging="360"/>
      </w:pPr>
      <w:rPr>
        <w:rFonts w:ascii="Arial" w:eastAsia="Times New Roman" w:hAnsi="Arial" w:cs="Times New Roman" w:hint="default"/>
        <w:color w:val="auto"/>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67B13DB4"/>
    <w:multiLevelType w:val="hybridMultilevel"/>
    <w:tmpl w:val="BA90DD7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DD4154"/>
    <w:multiLevelType w:val="hybridMultilevel"/>
    <w:tmpl w:val="30CC920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0A36B4"/>
    <w:multiLevelType w:val="hybridMultilevel"/>
    <w:tmpl w:val="BA143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A8712A"/>
    <w:multiLevelType w:val="hybridMultilevel"/>
    <w:tmpl w:val="758631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1"/>
  </w:num>
  <w:num w:numId="5">
    <w:abstractNumId w:val="0"/>
  </w:num>
  <w:num w:numId="6">
    <w:abstractNumId w:val="14"/>
  </w:num>
  <w:num w:numId="7">
    <w:abstractNumId w:val="5"/>
  </w:num>
  <w:num w:numId="8">
    <w:abstractNumId w:val="4"/>
  </w:num>
  <w:num w:numId="9">
    <w:abstractNumId w:val="7"/>
  </w:num>
  <w:num w:numId="10">
    <w:abstractNumId w:val="12"/>
  </w:num>
  <w:num w:numId="11">
    <w:abstractNumId w:val="13"/>
  </w:num>
  <w:num w:numId="12">
    <w:abstractNumId w:val="7"/>
  </w:num>
  <w:num w:numId="13">
    <w:abstractNumId w:val="10"/>
  </w:num>
  <w:num w:numId="14">
    <w:abstractNumId w:val="9"/>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E3"/>
    <w:rsid w:val="000112D8"/>
    <w:rsid w:val="00035E47"/>
    <w:rsid w:val="000D5865"/>
    <w:rsid w:val="001319FF"/>
    <w:rsid w:val="00276E75"/>
    <w:rsid w:val="00277FB0"/>
    <w:rsid w:val="002A01CF"/>
    <w:rsid w:val="002F6B75"/>
    <w:rsid w:val="00396848"/>
    <w:rsid w:val="00396937"/>
    <w:rsid w:val="00406CE8"/>
    <w:rsid w:val="004629F4"/>
    <w:rsid w:val="00497FD9"/>
    <w:rsid w:val="004A7B63"/>
    <w:rsid w:val="0054151C"/>
    <w:rsid w:val="00555B82"/>
    <w:rsid w:val="005A24B2"/>
    <w:rsid w:val="00625F59"/>
    <w:rsid w:val="00633BEF"/>
    <w:rsid w:val="0064045B"/>
    <w:rsid w:val="006D0E24"/>
    <w:rsid w:val="00703453"/>
    <w:rsid w:val="00710FFE"/>
    <w:rsid w:val="00766500"/>
    <w:rsid w:val="00777B73"/>
    <w:rsid w:val="007B5C2A"/>
    <w:rsid w:val="007C6B9F"/>
    <w:rsid w:val="007D0C23"/>
    <w:rsid w:val="00875460"/>
    <w:rsid w:val="008C03E7"/>
    <w:rsid w:val="008E449F"/>
    <w:rsid w:val="00927F47"/>
    <w:rsid w:val="00961CC1"/>
    <w:rsid w:val="009C7FED"/>
    <w:rsid w:val="009F7FBF"/>
    <w:rsid w:val="00A001EB"/>
    <w:rsid w:val="00A12394"/>
    <w:rsid w:val="00A33AED"/>
    <w:rsid w:val="00AC0DD1"/>
    <w:rsid w:val="00B022B4"/>
    <w:rsid w:val="00B31919"/>
    <w:rsid w:val="00BC7480"/>
    <w:rsid w:val="00C06C9A"/>
    <w:rsid w:val="00C21C24"/>
    <w:rsid w:val="00C7587E"/>
    <w:rsid w:val="00CD59B1"/>
    <w:rsid w:val="00DF4D8A"/>
    <w:rsid w:val="00E07B70"/>
    <w:rsid w:val="00E62498"/>
    <w:rsid w:val="00EA2BCA"/>
    <w:rsid w:val="00EF7BA0"/>
    <w:rsid w:val="00F045FE"/>
    <w:rsid w:val="00F71368"/>
    <w:rsid w:val="00FA7E3A"/>
    <w:rsid w:val="00FB2AE3"/>
    <w:rsid w:val="00FB3896"/>
    <w:rsid w:val="00FB76A0"/>
    <w:rsid w:val="00FF0577"/>
    <w:rsid w:val="00FF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eastAsia="Times New Roman" w:hAnsi="Arial" w:cs="Arial"/>
      <w:color w:val="333399"/>
      <w:sz w:val="24"/>
      <w:szCs w:val="24"/>
      <w:lang w:eastAsia="zh-CN"/>
    </w:rPr>
  </w:style>
  <w:style w:type="paragraph" w:styleId="Titolo1">
    <w:name w:val="heading 1"/>
    <w:basedOn w:val="Normale"/>
    <w:next w:val="Normale"/>
    <w:qFormat/>
    <w:pPr>
      <w:keepNext/>
      <w:spacing w:before="240" w:after="60"/>
      <w:outlineLvl w:val="0"/>
    </w:pPr>
    <w:rPr>
      <w:rFonts w:ascii="Arial Black" w:eastAsia="SimSun" w:hAnsi="Arial Black" w:cs="Arial Black"/>
      <w:b/>
      <w:bCs/>
      <w:smallCaps/>
      <w:color w:val="78916E"/>
      <w:spacing w:val="20"/>
      <w:kern w:val="32"/>
      <w:sz w:val="84"/>
      <w:szCs w:val="84"/>
    </w:rPr>
  </w:style>
  <w:style w:type="paragraph" w:styleId="Titolo2">
    <w:name w:val="heading 2"/>
    <w:basedOn w:val="Normale"/>
    <w:next w:val="Normale"/>
    <w:qFormat/>
    <w:pPr>
      <w:pBdr>
        <w:top w:val="dashSmallGap" w:sz="4" w:space="1" w:color="BEC837"/>
        <w:left w:val="dashSmallGap" w:sz="4" w:space="4" w:color="BEC837"/>
        <w:bottom w:val="dashSmallGap" w:sz="4" w:space="1" w:color="BEC837"/>
        <w:right w:val="dashSmallGap" w:sz="4" w:space="4" w:color="BEC837"/>
      </w:pBdr>
      <w:shd w:val="clear" w:color="auto" w:fill="EBF0C8"/>
      <w:ind w:left="720"/>
      <w:jc w:val="center"/>
      <w:outlineLvl w:val="1"/>
    </w:pPr>
    <w:rPr>
      <w:rFonts w:ascii="Arial Black" w:eastAsia="SimSun" w:hAnsi="Arial Black" w:cs="Times New Roman"/>
      <w:color w:val="AFB487"/>
      <w:sz w:val="96"/>
      <w:szCs w:val="96"/>
    </w:rPr>
  </w:style>
  <w:style w:type="paragraph" w:styleId="Titolo3">
    <w:name w:val="heading 3"/>
    <w:basedOn w:val="Normale"/>
    <w:next w:val="Normale"/>
    <w:qFormat/>
    <w:pPr>
      <w:ind w:left="720"/>
      <w:jc w:val="center"/>
      <w:outlineLvl w:val="2"/>
    </w:pPr>
    <w:rPr>
      <w:rFonts w:ascii="Garamond" w:eastAsia="SimSun" w:hAnsi="Garamond" w:cs="Times New Roman"/>
      <w:sz w:val="56"/>
      <w:szCs w:val="5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120" w:after="120"/>
      <w:ind w:left="720"/>
      <w:jc w:val="both"/>
    </w:pPr>
    <w:rPr>
      <w:rFonts w:ascii="Tahoma" w:hAnsi="Tahoma" w:cs="Tahoma"/>
      <w:color w:val="auto"/>
      <w:sz w:val="32"/>
      <w:szCs w:val="32"/>
    </w:rPr>
  </w:style>
  <w:style w:type="paragraph" w:customStyle="1" w:styleId="Spaziatore">
    <w:name w:val="Spaziatore"/>
    <w:basedOn w:val="Normale"/>
    <w:pPr>
      <w:pBdr>
        <w:top w:val="dashSmallGap" w:sz="4" w:space="1" w:color="BEC837"/>
        <w:left w:val="dashSmallGap" w:sz="4" w:space="4" w:color="BEC837"/>
        <w:bottom w:val="dashSmallGap" w:sz="4" w:space="1" w:color="BEC837"/>
        <w:right w:val="dashSmallGap" w:sz="4" w:space="4" w:color="BEC837"/>
      </w:pBdr>
      <w:shd w:val="clear" w:color="auto" w:fill="EBF0C8"/>
      <w:spacing w:before="60" w:after="60"/>
      <w:ind w:left="720"/>
      <w:jc w:val="center"/>
    </w:pPr>
    <w:rPr>
      <w:rFonts w:ascii="Tahoma" w:hAnsi="Tahoma" w:cs="Tahoma"/>
      <w:color w:val="78916E"/>
      <w:sz w:val="28"/>
      <w:szCs w:val="28"/>
      <w:lang w:eastAsia="it-IT" w:bidi="it-IT"/>
    </w:rPr>
  </w:style>
  <w:style w:type="paragraph" w:customStyle="1" w:styleId="Dataevento">
    <w:name w:val="Data evento"/>
    <w:basedOn w:val="Normale"/>
    <w:pPr>
      <w:spacing w:before="480" w:after="480"/>
      <w:ind w:left="720"/>
      <w:jc w:val="center"/>
      <w:outlineLvl w:val="2"/>
    </w:pPr>
    <w:rPr>
      <w:rFonts w:ascii="Tahoma" w:hAnsi="Tahoma" w:cs="Tahoma"/>
      <w:color w:val="78916E"/>
      <w:sz w:val="48"/>
      <w:szCs w:val="48"/>
      <w:lang w:eastAsia="it-IT" w:bidi="it-IT"/>
    </w:rPr>
  </w:style>
  <w:style w:type="table" w:customStyle="1" w:styleId="Tabellanormale1">
    <w:name w:val="Tabella normale1"/>
    <w:semiHidden/>
    <w:tblPr>
      <w:tblCellMar>
        <w:top w:w="0" w:type="dxa"/>
        <w:left w:w="108" w:type="dxa"/>
        <w:bottom w:w="0" w:type="dxa"/>
        <w:right w:w="108" w:type="dxa"/>
      </w:tblCellMar>
    </w:tblPr>
  </w:style>
  <w:style w:type="paragraph" w:styleId="Intestazione">
    <w:name w:val="header"/>
    <w:basedOn w:val="Normale"/>
    <w:link w:val="IntestazioneCarattere"/>
    <w:rsid w:val="00FB2AE3"/>
    <w:pPr>
      <w:tabs>
        <w:tab w:val="center" w:pos="4819"/>
        <w:tab w:val="right" w:pos="9638"/>
      </w:tabs>
    </w:pPr>
  </w:style>
  <w:style w:type="character" w:customStyle="1" w:styleId="IntestazioneCarattere">
    <w:name w:val="Intestazione Carattere"/>
    <w:basedOn w:val="Carpredefinitoparagrafo"/>
    <w:link w:val="Intestazione"/>
    <w:rsid w:val="00FB2AE3"/>
    <w:rPr>
      <w:rFonts w:ascii="Arial" w:eastAsia="Times New Roman" w:hAnsi="Arial" w:cs="Arial"/>
      <w:color w:val="333399"/>
      <w:sz w:val="24"/>
      <w:szCs w:val="24"/>
      <w:lang w:eastAsia="zh-CN"/>
    </w:rPr>
  </w:style>
  <w:style w:type="paragraph" w:styleId="Pidipagina">
    <w:name w:val="footer"/>
    <w:basedOn w:val="Normale"/>
    <w:link w:val="PidipaginaCarattere"/>
    <w:uiPriority w:val="99"/>
    <w:rsid w:val="00FB2AE3"/>
    <w:pPr>
      <w:tabs>
        <w:tab w:val="center" w:pos="4819"/>
        <w:tab w:val="right" w:pos="9638"/>
      </w:tabs>
    </w:pPr>
  </w:style>
  <w:style w:type="character" w:customStyle="1" w:styleId="PidipaginaCarattere">
    <w:name w:val="Piè di pagina Carattere"/>
    <w:basedOn w:val="Carpredefinitoparagrafo"/>
    <w:link w:val="Pidipagina"/>
    <w:uiPriority w:val="99"/>
    <w:rsid w:val="00FB2AE3"/>
    <w:rPr>
      <w:rFonts w:ascii="Arial" w:eastAsia="Times New Roman" w:hAnsi="Arial" w:cs="Arial"/>
      <w:color w:val="333399"/>
      <w:sz w:val="24"/>
      <w:szCs w:val="24"/>
      <w:lang w:eastAsia="zh-CN"/>
    </w:rPr>
  </w:style>
  <w:style w:type="paragraph" w:styleId="Testofumetto">
    <w:name w:val="Balloon Text"/>
    <w:basedOn w:val="Normale"/>
    <w:link w:val="TestofumettoCarattere"/>
    <w:rsid w:val="00FA7E3A"/>
    <w:rPr>
      <w:rFonts w:ascii="Tahoma" w:hAnsi="Tahoma" w:cs="Tahoma"/>
      <w:sz w:val="16"/>
      <w:szCs w:val="16"/>
    </w:rPr>
  </w:style>
  <w:style w:type="character" w:customStyle="1" w:styleId="TestofumettoCarattere">
    <w:name w:val="Testo fumetto Carattere"/>
    <w:basedOn w:val="Carpredefinitoparagrafo"/>
    <w:link w:val="Testofumetto"/>
    <w:rsid w:val="00FA7E3A"/>
    <w:rPr>
      <w:rFonts w:ascii="Tahoma" w:eastAsia="Times New Roman" w:hAnsi="Tahoma" w:cs="Tahoma"/>
      <w:color w:val="333399"/>
      <w:sz w:val="16"/>
      <w:szCs w:val="16"/>
      <w:lang w:eastAsia="zh-CN"/>
    </w:rPr>
  </w:style>
  <w:style w:type="paragraph" w:styleId="Paragrafoelenco">
    <w:name w:val="List Paragraph"/>
    <w:basedOn w:val="Normale"/>
    <w:uiPriority w:val="34"/>
    <w:qFormat/>
    <w:rsid w:val="00703453"/>
    <w:pPr>
      <w:ind w:left="720"/>
      <w:contextualSpacing/>
    </w:pPr>
  </w:style>
  <w:style w:type="table" w:styleId="Grigliatabella">
    <w:name w:val="Table Grid"/>
    <w:basedOn w:val="Tabellanormale"/>
    <w:rsid w:val="0046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eastAsia="Times New Roman" w:hAnsi="Arial" w:cs="Arial"/>
      <w:color w:val="333399"/>
      <w:sz w:val="24"/>
      <w:szCs w:val="24"/>
      <w:lang w:eastAsia="zh-CN"/>
    </w:rPr>
  </w:style>
  <w:style w:type="paragraph" w:styleId="Titolo1">
    <w:name w:val="heading 1"/>
    <w:basedOn w:val="Normale"/>
    <w:next w:val="Normale"/>
    <w:qFormat/>
    <w:pPr>
      <w:keepNext/>
      <w:spacing w:before="240" w:after="60"/>
      <w:outlineLvl w:val="0"/>
    </w:pPr>
    <w:rPr>
      <w:rFonts w:ascii="Arial Black" w:eastAsia="SimSun" w:hAnsi="Arial Black" w:cs="Arial Black"/>
      <w:b/>
      <w:bCs/>
      <w:smallCaps/>
      <w:color w:val="78916E"/>
      <w:spacing w:val="20"/>
      <w:kern w:val="32"/>
      <w:sz w:val="84"/>
      <w:szCs w:val="84"/>
    </w:rPr>
  </w:style>
  <w:style w:type="paragraph" w:styleId="Titolo2">
    <w:name w:val="heading 2"/>
    <w:basedOn w:val="Normale"/>
    <w:next w:val="Normale"/>
    <w:qFormat/>
    <w:pPr>
      <w:pBdr>
        <w:top w:val="dashSmallGap" w:sz="4" w:space="1" w:color="BEC837"/>
        <w:left w:val="dashSmallGap" w:sz="4" w:space="4" w:color="BEC837"/>
        <w:bottom w:val="dashSmallGap" w:sz="4" w:space="1" w:color="BEC837"/>
        <w:right w:val="dashSmallGap" w:sz="4" w:space="4" w:color="BEC837"/>
      </w:pBdr>
      <w:shd w:val="clear" w:color="auto" w:fill="EBF0C8"/>
      <w:ind w:left="720"/>
      <w:jc w:val="center"/>
      <w:outlineLvl w:val="1"/>
    </w:pPr>
    <w:rPr>
      <w:rFonts w:ascii="Arial Black" w:eastAsia="SimSun" w:hAnsi="Arial Black" w:cs="Times New Roman"/>
      <w:color w:val="AFB487"/>
      <w:sz w:val="96"/>
      <w:szCs w:val="96"/>
    </w:rPr>
  </w:style>
  <w:style w:type="paragraph" w:styleId="Titolo3">
    <w:name w:val="heading 3"/>
    <w:basedOn w:val="Normale"/>
    <w:next w:val="Normale"/>
    <w:qFormat/>
    <w:pPr>
      <w:ind w:left="720"/>
      <w:jc w:val="center"/>
      <w:outlineLvl w:val="2"/>
    </w:pPr>
    <w:rPr>
      <w:rFonts w:ascii="Garamond" w:eastAsia="SimSun" w:hAnsi="Garamond" w:cs="Times New Roman"/>
      <w:sz w:val="56"/>
      <w:szCs w:val="5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120" w:after="120"/>
      <w:ind w:left="720"/>
      <w:jc w:val="both"/>
    </w:pPr>
    <w:rPr>
      <w:rFonts w:ascii="Tahoma" w:hAnsi="Tahoma" w:cs="Tahoma"/>
      <w:color w:val="auto"/>
      <w:sz w:val="32"/>
      <w:szCs w:val="32"/>
    </w:rPr>
  </w:style>
  <w:style w:type="paragraph" w:customStyle="1" w:styleId="Spaziatore">
    <w:name w:val="Spaziatore"/>
    <w:basedOn w:val="Normale"/>
    <w:pPr>
      <w:pBdr>
        <w:top w:val="dashSmallGap" w:sz="4" w:space="1" w:color="BEC837"/>
        <w:left w:val="dashSmallGap" w:sz="4" w:space="4" w:color="BEC837"/>
        <w:bottom w:val="dashSmallGap" w:sz="4" w:space="1" w:color="BEC837"/>
        <w:right w:val="dashSmallGap" w:sz="4" w:space="4" w:color="BEC837"/>
      </w:pBdr>
      <w:shd w:val="clear" w:color="auto" w:fill="EBF0C8"/>
      <w:spacing w:before="60" w:after="60"/>
      <w:ind w:left="720"/>
      <w:jc w:val="center"/>
    </w:pPr>
    <w:rPr>
      <w:rFonts w:ascii="Tahoma" w:hAnsi="Tahoma" w:cs="Tahoma"/>
      <w:color w:val="78916E"/>
      <w:sz w:val="28"/>
      <w:szCs w:val="28"/>
      <w:lang w:eastAsia="it-IT" w:bidi="it-IT"/>
    </w:rPr>
  </w:style>
  <w:style w:type="paragraph" w:customStyle="1" w:styleId="Dataevento">
    <w:name w:val="Data evento"/>
    <w:basedOn w:val="Normale"/>
    <w:pPr>
      <w:spacing w:before="480" w:after="480"/>
      <w:ind w:left="720"/>
      <w:jc w:val="center"/>
      <w:outlineLvl w:val="2"/>
    </w:pPr>
    <w:rPr>
      <w:rFonts w:ascii="Tahoma" w:hAnsi="Tahoma" w:cs="Tahoma"/>
      <w:color w:val="78916E"/>
      <w:sz w:val="48"/>
      <w:szCs w:val="48"/>
      <w:lang w:eastAsia="it-IT" w:bidi="it-IT"/>
    </w:rPr>
  </w:style>
  <w:style w:type="table" w:customStyle="1" w:styleId="Tabellanormale1">
    <w:name w:val="Tabella normale1"/>
    <w:semiHidden/>
    <w:tblPr>
      <w:tblCellMar>
        <w:top w:w="0" w:type="dxa"/>
        <w:left w:w="108" w:type="dxa"/>
        <w:bottom w:w="0" w:type="dxa"/>
        <w:right w:w="108" w:type="dxa"/>
      </w:tblCellMar>
    </w:tblPr>
  </w:style>
  <w:style w:type="paragraph" w:styleId="Intestazione">
    <w:name w:val="header"/>
    <w:basedOn w:val="Normale"/>
    <w:link w:val="IntestazioneCarattere"/>
    <w:rsid w:val="00FB2AE3"/>
    <w:pPr>
      <w:tabs>
        <w:tab w:val="center" w:pos="4819"/>
        <w:tab w:val="right" w:pos="9638"/>
      </w:tabs>
    </w:pPr>
  </w:style>
  <w:style w:type="character" w:customStyle="1" w:styleId="IntestazioneCarattere">
    <w:name w:val="Intestazione Carattere"/>
    <w:basedOn w:val="Carpredefinitoparagrafo"/>
    <w:link w:val="Intestazione"/>
    <w:rsid w:val="00FB2AE3"/>
    <w:rPr>
      <w:rFonts w:ascii="Arial" w:eastAsia="Times New Roman" w:hAnsi="Arial" w:cs="Arial"/>
      <w:color w:val="333399"/>
      <w:sz w:val="24"/>
      <w:szCs w:val="24"/>
      <w:lang w:eastAsia="zh-CN"/>
    </w:rPr>
  </w:style>
  <w:style w:type="paragraph" w:styleId="Pidipagina">
    <w:name w:val="footer"/>
    <w:basedOn w:val="Normale"/>
    <w:link w:val="PidipaginaCarattere"/>
    <w:uiPriority w:val="99"/>
    <w:rsid w:val="00FB2AE3"/>
    <w:pPr>
      <w:tabs>
        <w:tab w:val="center" w:pos="4819"/>
        <w:tab w:val="right" w:pos="9638"/>
      </w:tabs>
    </w:pPr>
  </w:style>
  <w:style w:type="character" w:customStyle="1" w:styleId="PidipaginaCarattere">
    <w:name w:val="Piè di pagina Carattere"/>
    <w:basedOn w:val="Carpredefinitoparagrafo"/>
    <w:link w:val="Pidipagina"/>
    <w:uiPriority w:val="99"/>
    <w:rsid w:val="00FB2AE3"/>
    <w:rPr>
      <w:rFonts w:ascii="Arial" w:eastAsia="Times New Roman" w:hAnsi="Arial" w:cs="Arial"/>
      <w:color w:val="333399"/>
      <w:sz w:val="24"/>
      <w:szCs w:val="24"/>
      <w:lang w:eastAsia="zh-CN"/>
    </w:rPr>
  </w:style>
  <w:style w:type="paragraph" w:styleId="Testofumetto">
    <w:name w:val="Balloon Text"/>
    <w:basedOn w:val="Normale"/>
    <w:link w:val="TestofumettoCarattere"/>
    <w:rsid w:val="00FA7E3A"/>
    <w:rPr>
      <w:rFonts w:ascii="Tahoma" w:hAnsi="Tahoma" w:cs="Tahoma"/>
      <w:sz w:val="16"/>
      <w:szCs w:val="16"/>
    </w:rPr>
  </w:style>
  <w:style w:type="character" w:customStyle="1" w:styleId="TestofumettoCarattere">
    <w:name w:val="Testo fumetto Carattere"/>
    <w:basedOn w:val="Carpredefinitoparagrafo"/>
    <w:link w:val="Testofumetto"/>
    <w:rsid w:val="00FA7E3A"/>
    <w:rPr>
      <w:rFonts w:ascii="Tahoma" w:eastAsia="Times New Roman" w:hAnsi="Tahoma" w:cs="Tahoma"/>
      <w:color w:val="333399"/>
      <w:sz w:val="16"/>
      <w:szCs w:val="16"/>
      <w:lang w:eastAsia="zh-CN"/>
    </w:rPr>
  </w:style>
  <w:style w:type="paragraph" w:styleId="Paragrafoelenco">
    <w:name w:val="List Paragraph"/>
    <w:basedOn w:val="Normale"/>
    <w:uiPriority w:val="34"/>
    <w:qFormat/>
    <w:rsid w:val="00703453"/>
    <w:pPr>
      <w:ind w:left="720"/>
      <w:contextualSpacing/>
    </w:pPr>
  </w:style>
  <w:style w:type="table" w:styleId="Grigliatabella">
    <w:name w:val="Table Grid"/>
    <w:basedOn w:val="Tabellanormale"/>
    <w:rsid w:val="0046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62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luana.plessi@upi.emilia-romag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rica.serra\AppData\Roaming\Microsoft\Templates\Volantino%20per%20even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4277-A2C2-4F52-AD17-5B7FD283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Volantino per evento.dot</Template>
  <TotalTime>1</TotalTime>
  <Pages>4</Pages>
  <Words>1869</Words>
  <Characters>10655</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Serra</dc:creator>
  <cp:lastModifiedBy>Segreteria Formazione</cp:lastModifiedBy>
  <cp:revision>2</cp:revision>
  <cp:lastPrinted>2015-09-10T08:19:00Z</cp:lastPrinted>
  <dcterms:created xsi:type="dcterms:W3CDTF">2017-12-20T09:53:00Z</dcterms:created>
  <dcterms:modified xsi:type="dcterms:W3CDTF">2017-12-20T09:53:00Z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TC010219691040</vt:lpwstr>
  </property>
</Properties>
</file>